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057" w:rsidRDefault="00AE3057">
      <w:pPr>
        <w:widowControl/>
        <w:suppressAutoHyphens/>
        <w:autoSpaceDE/>
        <w:autoSpaceDN/>
        <w:adjustRightInd/>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ТЕХНИЧЕСК</w:t>
      </w:r>
      <w:r w:rsidR="00F513D0">
        <w:rPr>
          <w:rFonts w:ascii="Times New Roman" w:hAnsi="Times New Roman" w:cs="Times New Roman"/>
          <w:b/>
          <w:bCs/>
          <w:color w:val="000000"/>
          <w:sz w:val="24"/>
          <w:szCs w:val="24"/>
        </w:rPr>
        <w:t>О</w:t>
      </w:r>
      <w:r>
        <w:rPr>
          <w:rFonts w:ascii="Times New Roman" w:hAnsi="Times New Roman" w:cs="Times New Roman"/>
          <w:b/>
          <w:bCs/>
          <w:color w:val="000000"/>
          <w:sz w:val="24"/>
          <w:szCs w:val="24"/>
        </w:rPr>
        <w:t>Е ЗАДАНИЕ</w:t>
      </w:r>
    </w:p>
    <w:p w:rsidR="00AE3057" w:rsidRDefault="00AE3057">
      <w:pPr>
        <w:widowControl/>
        <w:suppressAutoHyphens/>
        <w:autoSpaceDE/>
        <w:autoSpaceDN/>
        <w:adjustRightInd/>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на открытый </w:t>
      </w:r>
      <w:r>
        <w:rPr>
          <w:rFonts w:ascii="Times New Roman" w:hAnsi="Times New Roman" w:cs="Times New Roman"/>
          <w:i/>
          <w:iCs/>
          <w:color w:val="000000"/>
          <w:sz w:val="24"/>
          <w:szCs w:val="24"/>
        </w:rPr>
        <w:t xml:space="preserve">запрос предложений </w:t>
      </w:r>
      <w:r>
        <w:rPr>
          <w:rFonts w:ascii="Times New Roman" w:hAnsi="Times New Roman" w:cs="Times New Roman"/>
          <w:color w:val="000000"/>
          <w:sz w:val="24"/>
          <w:szCs w:val="24"/>
        </w:rPr>
        <w:t>по выбору исполнителя услуг</w:t>
      </w:r>
    </w:p>
    <w:p w:rsidR="00AE3057" w:rsidRDefault="00AE3057">
      <w:pPr>
        <w:widowControl/>
        <w:suppressAutoHyphens/>
        <w:autoSpaceDE/>
        <w:autoSpaceDN/>
        <w:adjustRightInd/>
        <w:jc w:val="center"/>
        <w:rPr>
          <w:rFonts w:ascii="Times New Roman" w:hAnsi="Times New Roman" w:cs="Times New Roman"/>
          <w:color w:val="000000"/>
          <w:sz w:val="24"/>
          <w:szCs w:val="24"/>
        </w:rPr>
      </w:pPr>
      <w:r>
        <w:t xml:space="preserve">по </w:t>
      </w:r>
      <w:r w:rsidR="00335D71">
        <w:t>р</w:t>
      </w:r>
      <w:r w:rsidR="00335D71" w:rsidRPr="00335D71">
        <w:t>азмещени</w:t>
      </w:r>
      <w:r w:rsidR="00335D71">
        <w:t>ю</w:t>
      </w:r>
      <w:r w:rsidR="00335D71" w:rsidRPr="00335D71">
        <w:t xml:space="preserve"> документарных процентных неконвертируемых Облигаций на предъявителя</w:t>
      </w:r>
      <w:r>
        <w:t xml:space="preserve"> в 2013-2014гг.</w:t>
      </w:r>
    </w:p>
    <w:p w:rsidR="00AE3057" w:rsidRDefault="00AE3057">
      <w:pPr>
        <w:widowControl/>
        <w:suppressAutoHyphens/>
        <w:autoSpaceDE/>
        <w:autoSpaceDN/>
        <w:adjustRightInd/>
        <w:jc w:val="center"/>
        <w:rPr>
          <w:rFonts w:ascii="Times New Roman" w:hAnsi="Times New Roman" w:cs="Times New Roman"/>
          <w:i/>
          <w:iCs/>
          <w:color w:val="000000"/>
        </w:rPr>
      </w:pPr>
    </w:p>
    <w:p w:rsidR="00AE3057" w:rsidRDefault="00AE3057">
      <w:pPr>
        <w:widowControl/>
        <w:suppressAutoHyphens/>
        <w:autoSpaceDE/>
        <w:autoSpaceDN/>
        <w:adjustRightInd/>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00335D71">
        <w:rPr>
          <w:rFonts w:ascii="Times New Roman" w:hAnsi="Times New Roman" w:cs="Times New Roman"/>
          <w:color w:val="000000"/>
          <w:sz w:val="24"/>
          <w:szCs w:val="24"/>
        </w:rPr>
        <w:t>№</w:t>
      </w:r>
      <w:r>
        <w:rPr>
          <w:rFonts w:ascii="Times New Roman" w:hAnsi="Times New Roman" w:cs="Times New Roman"/>
          <w:color w:val="000000"/>
          <w:sz w:val="24"/>
          <w:szCs w:val="24"/>
        </w:rPr>
        <w:t xml:space="preserve"> по ГКПЗ</w:t>
      </w:r>
      <w:r w:rsidR="00335D71">
        <w:rPr>
          <w:rFonts w:ascii="Times New Roman" w:hAnsi="Times New Roman" w:cs="Times New Roman"/>
          <w:color w:val="000000"/>
          <w:sz w:val="24"/>
          <w:szCs w:val="24"/>
        </w:rPr>
        <w:t xml:space="preserve">  </w:t>
      </w:r>
      <w:r w:rsidR="00335D71" w:rsidRPr="00335D71">
        <w:rPr>
          <w:rFonts w:ascii="Times New Roman" w:hAnsi="Times New Roman" w:cs="Times New Roman"/>
          <w:color w:val="000000"/>
          <w:sz w:val="24"/>
          <w:szCs w:val="24"/>
        </w:rPr>
        <w:t>9111/7.24-2636</w:t>
      </w:r>
      <w:r>
        <w:rPr>
          <w:rFonts w:ascii="Times New Roman" w:hAnsi="Times New Roman" w:cs="Times New Roman"/>
          <w:color w:val="000000"/>
          <w:sz w:val="24"/>
          <w:szCs w:val="24"/>
        </w:rPr>
        <w:t>)</w:t>
      </w:r>
    </w:p>
    <w:p w:rsidR="00AE3057" w:rsidRDefault="00AE3057">
      <w:pPr>
        <w:widowControl/>
        <w:suppressAutoHyphens/>
        <w:autoSpaceDE/>
        <w:autoSpaceDN/>
        <w:adjustRightInd/>
        <w:rPr>
          <w:rFonts w:ascii="Times New Roman" w:hAnsi="Times New Roman" w:cs="Times New Roman"/>
          <w:color w:val="000000"/>
          <w:sz w:val="24"/>
          <w:szCs w:val="24"/>
        </w:rPr>
      </w:pPr>
    </w:p>
    <w:p w:rsidR="00AE3057" w:rsidRDefault="00AE3057">
      <w:pPr>
        <w:widowControl/>
        <w:suppressAutoHyphens/>
        <w:autoSpaceDE/>
        <w:autoSpaceDN/>
        <w:adjustRightInd/>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lang w:val="en-US"/>
        </w:rPr>
        <w:t>I</w:t>
      </w:r>
      <w:r>
        <w:rPr>
          <w:rFonts w:ascii="Times New Roman" w:hAnsi="Times New Roman" w:cs="Times New Roman"/>
          <w:b/>
          <w:bCs/>
          <w:color w:val="000000"/>
          <w:sz w:val="24"/>
          <w:szCs w:val="24"/>
        </w:rPr>
        <w:t>. Общие требования.</w:t>
      </w:r>
      <w:proofErr w:type="gramEnd"/>
    </w:p>
    <w:p w:rsidR="00AE3057" w:rsidRDefault="00AE3057">
      <w:pPr>
        <w:widowControl/>
        <w:suppressAutoHyphens/>
        <w:autoSpaceDE/>
        <w:autoSpaceDN/>
        <w:adjustRightInd/>
        <w:jc w:val="both"/>
        <w:rPr>
          <w:rFonts w:ascii="Times New Roman" w:hAnsi="Times New Roman" w:cs="Times New Roman"/>
          <w:color w:val="000000"/>
          <w:sz w:val="24"/>
          <w:szCs w:val="24"/>
        </w:rPr>
      </w:pPr>
    </w:p>
    <w:p w:rsidR="00AE3057" w:rsidRDefault="00AE3057">
      <w:pPr>
        <w:widowControl/>
        <w:suppressAutoHyphens/>
        <w:autoSpaceDE/>
        <w:autoSpaceDN/>
        <w:adjustRightInd/>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Должность, ФИО, контактный телефон ответственного лица, </w:t>
      </w:r>
    </w:p>
    <w:p w:rsidR="00AE3057" w:rsidRDefault="00AE3057">
      <w:pPr>
        <w:widowControl/>
        <w:suppressAutoHyphens/>
        <w:autoSpaceDE/>
        <w:autoSpaceDN/>
        <w:adjustRightInd/>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составившего</w:t>
      </w:r>
      <w:proofErr w:type="gramEnd"/>
      <w:r>
        <w:rPr>
          <w:rFonts w:ascii="Times New Roman" w:hAnsi="Times New Roman" w:cs="Times New Roman"/>
          <w:color w:val="000000"/>
          <w:sz w:val="24"/>
          <w:szCs w:val="24"/>
        </w:rPr>
        <w:t xml:space="preserve"> техническое задание: </w:t>
      </w:r>
      <w:r w:rsidRPr="00CD707B">
        <w:rPr>
          <w:rFonts w:ascii="Times New Roman" w:hAnsi="Times New Roman" w:cs="Times New Roman"/>
          <w:color w:val="000000"/>
          <w:sz w:val="24"/>
          <w:szCs w:val="24"/>
          <w:highlight w:val="yellow"/>
        </w:rPr>
        <w:t>Кругляков Сергей Васильевич, +7 812 9013022</w:t>
      </w:r>
    </w:p>
    <w:p w:rsidR="00AE3057" w:rsidRDefault="00AE3057">
      <w:pPr>
        <w:widowControl/>
        <w:suppressAutoHyphens/>
        <w:autoSpaceDE/>
        <w:autoSpaceDN/>
        <w:adjustRightInd/>
        <w:rPr>
          <w:rFonts w:ascii="Times New Roman" w:hAnsi="Times New Roman" w:cs="Times New Roman"/>
          <w:color w:val="000000"/>
          <w:sz w:val="24"/>
          <w:szCs w:val="24"/>
        </w:rPr>
      </w:pPr>
    </w:p>
    <w:p w:rsidR="00AE3057" w:rsidRDefault="00AE3057">
      <w:pPr>
        <w:widowControl/>
        <w:suppressAutoHyphens/>
        <w:autoSpaceDE/>
        <w:autoSpaceDN/>
        <w:adjustRightInd/>
        <w:rPr>
          <w:rFonts w:ascii="Times New Roman" w:hAnsi="Times New Roman" w:cs="Times New Roman"/>
          <w:b/>
          <w:bCs/>
          <w:color w:val="000000"/>
          <w:sz w:val="24"/>
          <w:szCs w:val="24"/>
        </w:rPr>
      </w:pPr>
      <w:r>
        <w:rPr>
          <w:rFonts w:ascii="Times New Roman" w:hAnsi="Times New Roman" w:cs="Times New Roman"/>
          <w:b/>
          <w:bCs/>
          <w:color w:val="000000"/>
          <w:sz w:val="24"/>
          <w:szCs w:val="24"/>
        </w:rPr>
        <w:t>Период выполнения работ:</w:t>
      </w:r>
    </w:p>
    <w:p w:rsidR="00AE3057" w:rsidRDefault="00AE3057">
      <w:pPr>
        <w:widowControl/>
        <w:suppressAutoHyphens/>
        <w:autoSpaceDE/>
        <w:autoSpaceDN/>
        <w:adjustRightInd/>
        <w:spacing w:line="360" w:lineRule="auto"/>
        <w:jc w:val="both"/>
      </w:pPr>
      <w:r>
        <w:t>Начало                 февраль 2013 г.</w:t>
      </w:r>
    </w:p>
    <w:p w:rsidR="00AE3057" w:rsidRDefault="00AE3057">
      <w:pPr>
        <w:widowControl/>
        <w:suppressAutoHyphens/>
        <w:autoSpaceDE/>
        <w:autoSpaceDN/>
        <w:adjustRightInd/>
        <w:spacing w:line="360" w:lineRule="auto"/>
        <w:jc w:val="both"/>
      </w:pPr>
      <w:r>
        <w:t>Окончание          до даты погашения Облигаций</w:t>
      </w:r>
    </w:p>
    <w:p w:rsidR="00AE3057" w:rsidRDefault="00AE3057">
      <w:pPr>
        <w:widowControl/>
        <w:suppressAutoHyphens/>
        <w:autoSpaceDE/>
        <w:autoSpaceDN/>
        <w:adjustRightInd/>
        <w:jc w:val="both"/>
        <w:rPr>
          <w:rFonts w:ascii="Times New Roman" w:hAnsi="Times New Roman" w:cs="Times New Roman"/>
          <w:i/>
          <w:iCs/>
          <w:color w:val="000000"/>
          <w:sz w:val="16"/>
          <w:szCs w:val="16"/>
        </w:rPr>
      </w:pPr>
    </w:p>
    <w:p w:rsidR="00AE3057" w:rsidRDefault="00AE3057">
      <w:pPr>
        <w:widowControl/>
        <w:autoSpaceDE/>
        <w:autoSpaceDN/>
        <w:adjustRightInd/>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Расчетная (максимальная) цена закупки– </w:t>
      </w:r>
      <w:r>
        <w:rPr>
          <w:rFonts w:ascii="Times New Roman" w:hAnsi="Times New Roman" w:cs="Times New Roman"/>
          <w:color w:val="000000"/>
          <w:sz w:val="24"/>
          <w:szCs w:val="24"/>
        </w:rPr>
        <w:t xml:space="preserve">80 млн. руб. (без учета НДС) </w:t>
      </w:r>
    </w:p>
    <w:p w:rsidR="00AE3057" w:rsidRDefault="00AE3057">
      <w:pPr>
        <w:widowControl/>
        <w:autoSpaceDE/>
        <w:autoSpaceDN/>
        <w:adjustRightInd/>
        <w:rPr>
          <w:rFonts w:ascii="Times New Roman" w:hAnsi="Times New Roman" w:cs="Times New Roman"/>
          <w:color w:val="000000"/>
          <w:sz w:val="24"/>
          <w:szCs w:val="24"/>
        </w:rPr>
      </w:pPr>
      <w:r>
        <w:rPr>
          <w:rFonts w:ascii="Times New Roman" w:hAnsi="Times New Roman" w:cs="Times New Roman"/>
          <w:color w:val="000000"/>
          <w:sz w:val="24"/>
          <w:szCs w:val="24"/>
        </w:rPr>
        <w:t>в том числе:</w:t>
      </w:r>
    </w:p>
    <w:p w:rsidR="00AE3057" w:rsidRDefault="00AE3057">
      <w:pPr>
        <w:widowControl/>
        <w:autoSpaceDE/>
        <w:autoSpaceDN/>
        <w:adjustRightInd/>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(базовое вознаграждение) </w:t>
      </w:r>
      <w:r>
        <w:rPr>
          <w:rFonts w:ascii="Times New Roman" w:hAnsi="Times New Roman" w:cs="Times New Roman"/>
          <w:color w:val="000000"/>
          <w:sz w:val="24"/>
          <w:szCs w:val="24"/>
        </w:rPr>
        <w:t>не более 0.2% от общей номинальной стоимости фактически размещенных Облигаций (без учета НДС).</w:t>
      </w:r>
    </w:p>
    <w:p w:rsidR="00AE3057" w:rsidRDefault="00AE3057">
      <w:pPr>
        <w:widowControl/>
        <w:suppressAutoHyphens/>
        <w:autoSpaceDE/>
        <w:autoSpaceDN/>
        <w:adjustRightInd/>
        <w:jc w:val="both"/>
        <w:rPr>
          <w:rFonts w:ascii="Times New Roman" w:hAnsi="Times New Roman" w:cs="Times New Roman"/>
          <w:color w:val="000000"/>
          <w:sz w:val="16"/>
          <w:szCs w:val="16"/>
        </w:rPr>
      </w:pPr>
      <w:bookmarkStart w:id="0" w:name="_GoBack"/>
      <w:bookmarkEnd w:id="0"/>
    </w:p>
    <w:p w:rsidR="00AE3057" w:rsidRDefault="00AE3057">
      <w:pPr>
        <w:widowControl/>
        <w:suppressAutoHyphens/>
        <w:autoSpaceDE/>
        <w:autoSpaceDN/>
        <w:adjustRightInd/>
        <w:jc w:val="both"/>
        <w:rPr>
          <w:rFonts w:ascii="Times New Roman" w:hAnsi="Times New Roman" w:cs="Times New Roman"/>
          <w:color w:val="000000"/>
          <w:sz w:val="24"/>
          <w:szCs w:val="24"/>
        </w:rPr>
      </w:pPr>
    </w:p>
    <w:p w:rsidR="00AE3057" w:rsidRDefault="00AE3057">
      <w:pPr>
        <w:widowControl/>
        <w:numPr>
          <w:ilvl w:val="0"/>
          <w:numId w:val="19"/>
        </w:numPr>
        <w:suppressAutoHyphens/>
        <w:autoSpaceDE/>
        <w:autoSpaceDN/>
        <w:adjustRightInd/>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Описание и основные характеристики размещаемых ценных бумаг:</w:t>
      </w:r>
    </w:p>
    <w:p w:rsidR="00AE3057" w:rsidRDefault="00AE3057">
      <w:pPr>
        <w:widowControl/>
        <w:suppressAutoHyphens/>
        <w:autoSpaceDE/>
        <w:autoSpaceDN/>
        <w:adjustRightInd/>
        <w:spacing w:line="360" w:lineRule="auto"/>
        <w:jc w:val="both"/>
      </w:pPr>
    </w:p>
    <w:p w:rsidR="00AE3057" w:rsidRDefault="00AE3057">
      <w:pPr>
        <w:widowControl/>
        <w:suppressAutoHyphens/>
        <w:autoSpaceDE/>
        <w:autoSpaceDN/>
        <w:adjustRightInd/>
        <w:spacing w:line="360" w:lineRule="auto"/>
        <w:jc w:val="both"/>
      </w:pPr>
      <w:r>
        <w:t>ОАО «ТГК-1» планирует в 2013-2014 году разместить 20 000 000 (двадцать миллионов) штук документарных процентных неконвертируемых Облигаций на предъявителя с обязательным централизованным хранением, номинальной стоимостью 1000 (одна тысяча) рублей каждая (далее именуемые «Облигации») на следующих условиях:</w:t>
      </w:r>
    </w:p>
    <w:p w:rsidR="00AE3057" w:rsidRDefault="00AE3057">
      <w:pPr>
        <w:pStyle w:val="a9"/>
        <w:widowControl/>
        <w:numPr>
          <w:ilvl w:val="0"/>
          <w:numId w:val="6"/>
        </w:numPr>
        <w:autoSpaceDE/>
        <w:autoSpaceDN/>
        <w:adjustRightInd/>
        <w:spacing w:after="40" w:line="360" w:lineRule="auto"/>
        <w:jc w:val="both"/>
      </w:pPr>
      <w:r>
        <w:t>Способ размещения – открытая подписка;</w:t>
      </w:r>
    </w:p>
    <w:p w:rsidR="00AE3057" w:rsidRDefault="00AE3057">
      <w:pPr>
        <w:pStyle w:val="a9"/>
        <w:widowControl/>
        <w:numPr>
          <w:ilvl w:val="0"/>
          <w:numId w:val="6"/>
        </w:numPr>
        <w:autoSpaceDE/>
        <w:autoSpaceDN/>
        <w:adjustRightInd/>
        <w:spacing w:after="40" w:line="360" w:lineRule="auto"/>
        <w:jc w:val="both"/>
      </w:pPr>
      <w:r>
        <w:t>Общая сумма облигационных займов - 20 млрд. руб., из них:</w:t>
      </w:r>
    </w:p>
    <w:p w:rsidR="00AE3057" w:rsidRDefault="00AE3057">
      <w:pPr>
        <w:pStyle w:val="a9"/>
        <w:spacing w:after="40" w:line="360" w:lineRule="auto"/>
        <w:jc w:val="both"/>
      </w:pPr>
      <w:r>
        <w:t>-2 выпуска корпоративных облигаций общей номинальной стоимостью не более 10 млрд. руб.;</w:t>
      </w:r>
    </w:p>
    <w:p w:rsidR="00AE3057" w:rsidRDefault="00AE3057">
      <w:pPr>
        <w:pStyle w:val="a9"/>
        <w:spacing w:after="40" w:line="360" w:lineRule="auto"/>
        <w:jc w:val="both"/>
      </w:pPr>
      <w:r>
        <w:t>-2 выпуска биржевых облигаций общей номинальной стоимостью не более 10 млрд. руб.</w:t>
      </w:r>
    </w:p>
    <w:p w:rsidR="00AE3057" w:rsidRDefault="00AE3057">
      <w:pPr>
        <w:pStyle w:val="a9"/>
        <w:widowControl/>
        <w:numPr>
          <w:ilvl w:val="0"/>
          <w:numId w:val="6"/>
        </w:numPr>
        <w:autoSpaceDE/>
        <w:autoSpaceDN/>
        <w:adjustRightInd/>
        <w:spacing w:line="360" w:lineRule="auto"/>
      </w:pPr>
      <w:r>
        <w:t>Количество возможных выпусков облигационных займов - не менее 4;</w:t>
      </w:r>
    </w:p>
    <w:p w:rsidR="00AE3057" w:rsidRDefault="00AE3057">
      <w:pPr>
        <w:pStyle w:val="a9"/>
        <w:widowControl/>
        <w:numPr>
          <w:ilvl w:val="0"/>
          <w:numId w:val="6"/>
        </w:numPr>
        <w:autoSpaceDE/>
        <w:autoSpaceDN/>
        <w:adjustRightInd/>
        <w:spacing w:line="360" w:lineRule="auto"/>
      </w:pPr>
      <w:r>
        <w:t>Сумма каждого выпуска облигационного займа - не более 5 млрд. руб.;</w:t>
      </w:r>
    </w:p>
    <w:p w:rsidR="00AE3057" w:rsidRDefault="00AE3057">
      <w:pPr>
        <w:pStyle w:val="a9"/>
        <w:widowControl/>
        <w:numPr>
          <w:ilvl w:val="0"/>
          <w:numId w:val="6"/>
        </w:numPr>
        <w:autoSpaceDE/>
        <w:autoSpaceDN/>
        <w:adjustRightInd/>
        <w:spacing w:line="360" w:lineRule="auto"/>
      </w:pPr>
      <w:r>
        <w:t>Срок обращения облигаций не более 10 лет;</w:t>
      </w:r>
    </w:p>
    <w:p w:rsidR="00AE3057" w:rsidRDefault="00AE3057">
      <w:pPr>
        <w:pStyle w:val="a9"/>
        <w:widowControl/>
        <w:numPr>
          <w:ilvl w:val="0"/>
          <w:numId w:val="6"/>
        </w:numPr>
        <w:autoSpaceDE/>
        <w:autoSpaceDN/>
        <w:adjustRightInd/>
        <w:spacing w:line="360" w:lineRule="auto"/>
      </w:pPr>
      <w:r>
        <w:t>Размер процентной ставки не должен превышать установленный для Общества Лимит стоимостных параметров заимствования;</w:t>
      </w:r>
    </w:p>
    <w:p w:rsidR="00AE3057" w:rsidRDefault="00AE3057">
      <w:pPr>
        <w:pStyle w:val="a9"/>
        <w:widowControl/>
        <w:numPr>
          <w:ilvl w:val="0"/>
          <w:numId w:val="6"/>
        </w:numPr>
        <w:autoSpaceDE/>
        <w:autoSpaceDN/>
        <w:adjustRightInd/>
        <w:spacing w:line="360" w:lineRule="auto"/>
      </w:pPr>
      <w:r>
        <w:t>Примерные сроки размещения облигаций – апрель 2013-декабрь 2014 гг.</w:t>
      </w:r>
    </w:p>
    <w:p w:rsidR="00AE3057" w:rsidRDefault="00AE3057">
      <w:pPr>
        <w:pStyle w:val="a9"/>
        <w:rPr>
          <w:rFonts w:ascii="Times New Roman" w:hAnsi="Times New Roman" w:cs="Times New Roman"/>
        </w:rPr>
      </w:pPr>
    </w:p>
    <w:p w:rsidR="00AE3057" w:rsidRDefault="00AE3057">
      <w:pPr>
        <w:widowControl/>
        <w:suppressAutoHyphens/>
        <w:autoSpaceDE/>
        <w:autoSpaceDN/>
        <w:adjustRightInd/>
        <w:rPr>
          <w:rFonts w:ascii="Times New Roman" w:hAnsi="Times New Roman" w:cs="Times New Roman"/>
          <w:color w:val="000000"/>
          <w:sz w:val="24"/>
          <w:szCs w:val="24"/>
        </w:rPr>
      </w:pPr>
    </w:p>
    <w:p w:rsidR="00AE3057" w:rsidRDefault="00AE3057">
      <w:pPr>
        <w:widowControl/>
        <w:suppressAutoHyphens/>
        <w:autoSpaceDE/>
        <w:autoSpaceDN/>
        <w:adjustRightInd/>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t>II</w:t>
      </w:r>
      <w:r>
        <w:rPr>
          <w:rFonts w:ascii="Times New Roman" w:hAnsi="Times New Roman" w:cs="Times New Roman"/>
          <w:b/>
          <w:bCs/>
          <w:color w:val="000000"/>
          <w:sz w:val="24"/>
          <w:szCs w:val="24"/>
        </w:rPr>
        <w:t>. Требования к выполнению работ.</w:t>
      </w:r>
    </w:p>
    <w:p w:rsidR="00AE3057" w:rsidRDefault="00AE3057">
      <w:pPr>
        <w:widowControl/>
        <w:suppressAutoHyphens/>
        <w:autoSpaceDE/>
        <w:autoSpaceDN/>
        <w:adjustRightInd/>
        <w:jc w:val="both"/>
      </w:pPr>
      <w:r>
        <w:rPr>
          <w:rFonts w:ascii="Times New Roman" w:hAnsi="Times New Roman" w:cs="Times New Roman"/>
          <w:b/>
          <w:bCs/>
          <w:color w:val="000000"/>
          <w:sz w:val="24"/>
          <w:szCs w:val="24"/>
        </w:rPr>
        <w:t xml:space="preserve">Цель работы: организация </w:t>
      </w:r>
      <w:r>
        <w:t>оказания следующего перечня услуг, направленных на организацию выпуска и размещение Облигаций:</w:t>
      </w:r>
    </w:p>
    <w:p w:rsidR="00AE3057" w:rsidRDefault="00AE3057">
      <w:pPr>
        <w:widowControl/>
        <w:suppressAutoHyphens/>
        <w:autoSpaceDE/>
        <w:autoSpaceDN/>
        <w:adjustRightInd/>
        <w:jc w:val="both"/>
      </w:pPr>
    </w:p>
    <w:p w:rsidR="00AE3057" w:rsidRDefault="00AE3057">
      <w:pPr>
        <w:widowControl/>
        <w:suppressAutoHyphens/>
        <w:autoSpaceDE/>
        <w:autoSpaceDN/>
        <w:adjustRightInd/>
        <w:jc w:val="both"/>
      </w:pPr>
    </w:p>
    <w:p w:rsidR="00AE3057" w:rsidRDefault="00AE3057">
      <w:pPr>
        <w:pStyle w:val="a9"/>
        <w:widowControl/>
        <w:numPr>
          <w:ilvl w:val="0"/>
          <w:numId w:val="15"/>
        </w:numPr>
        <w:tabs>
          <w:tab w:val="num" w:pos="720"/>
        </w:tabs>
        <w:autoSpaceDE/>
        <w:autoSpaceDN/>
        <w:adjustRightInd/>
        <w:spacing w:after="150" w:line="360" w:lineRule="auto"/>
        <w:ind w:left="714" w:hanging="357"/>
        <w:jc w:val="both"/>
      </w:pPr>
      <w:r>
        <w:t>разработка рекомендаций относительно структуры и параметров Облигационного займа;</w:t>
      </w:r>
    </w:p>
    <w:p w:rsidR="00AE3057" w:rsidRDefault="00AE3057">
      <w:pPr>
        <w:pStyle w:val="a9"/>
        <w:widowControl/>
        <w:numPr>
          <w:ilvl w:val="0"/>
          <w:numId w:val="15"/>
        </w:numPr>
        <w:tabs>
          <w:tab w:val="num" w:pos="720"/>
        </w:tabs>
        <w:autoSpaceDE/>
        <w:autoSpaceDN/>
        <w:adjustRightInd/>
        <w:spacing w:after="150" w:line="360" w:lineRule="auto"/>
        <w:ind w:left="714" w:hanging="357"/>
        <w:jc w:val="both"/>
      </w:pPr>
      <w:r>
        <w:lastRenderedPageBreak/>
        <w:t>подготовка плана-графика мероприятий по выпуску и размещению облигаций;</w:t>
      </w:r>
    </w:p>
    <w:p w:rsidR="00AE3057" w:rsidRDefault="00AE3057">
      <w:pPr>
        <w:pStyle w:val="a9"/>
        <w:widowControl/>
        <w:numPr>
          <w:ilvl w:val="0"/>
          <w:numId w:val="15"/>
        </w:numPr>
        <w:tabs>
          <w:tab w:val="num" w:pos="720"/>
        </w:tabs>
        <w:autoSpaceDE/>
        <w:autoSpaceDN/>
        <w:adjustRightInd/>
        <w:spacing w:after="150" w:line="360" w:lineRule="auto"/>
        <w:ind w:left="714" w:hanging="357"/>
        <w:jc w:val="both"/>
      </w:pPr>
      <w:r>
        <w:t xml:space="preserve">подготовка полного пакета проектов документов, необходимых для выпуска, размещения и обращения облигаций, в том числе эмиссионной документации в соответствии со структурой выпуска и действующим законодательством: </w:t>
      </w:r>
    </w:p>
    <w:p w:rsidR="00AE3057" w:rsidRDefault="00AE3057">
      <w:pPr>
        <w:widowControl/>
        <w:numPr>
          <w:ilvl w:val="0"/>
          <w:numId w:val="8"/>
        </w:numPr>
        <w:tabs>
          <w:tab w:val="num" w:pos="1080"/>
        </w:tabs>
        <w:autoSpaceDE/>
        <w:autoSpaceDN/>
        <w:adjustRightInd/>
        <w:spacing w:after="150" w:line="300" w:lineRule="exact"/>
        <w:ind w:left="1080"/>
        <w:jc w:val="both"/>
      </w:pPr>
      <w:r>
        <w:t>решение о размещении;</w:t>
      </w:r>
    </w:p>
    <w:p w:rsidR="00AE3057" w:rsidRDefault="00AE3057">
      <w:pPr>
        <w:widowControl/>
        <w:numPr>
          <w:ilvl w:val="0"/>
          <w:numId w:val="8"/>
        </w:numPr>
        <w:tabs>
          <w:tab w:val="num" w:pos="1080"/>
        </w:tabs>
        <w:autoSpaceDE/>
        <w:autoSpaceDN/>
        <w:adjustRightInd/>
        <w:spacing w:after="150" w:line="300" w:lineRule="exact"/>
        <w:ind w:left="1080"/>
        <w:jc w:val="both"/>
      </w:pPr>
      <w:r>
        <w:t>решение о выпуске;</w:t>
      </w:r>
    </w:p>
    <w:p w:rsidR="00AE3057" w:rsidRDefault="00AE3057">
      <w:pPr>
        <w:widowControl/>
        <w:numPr>
          <w:ilvl w:val="0"/>
          <w:numId w:val="8"/>
        </w:numPr>
        <w:tabs>
          <w:tab w:val="num" w:pos="1080"/>
        </w:tabs>
        <w:autoSpaceDE/>
        <w:autoSpaceDN/>
        <w:adjustRightInd/>
        <w:spacing w:after="150" w:line="300" w:lineRule="exact"/>
        <w:ind w:left="1080"/>
        <w:jc w:val="both"/>
      </w:pPr>
      <w:r>
        <w:t>проспект ценных бумаг.</w:t>
      </w:r>
    </w:p>
    <w:p w:rsidR="00AE3057" w:rsidRDefault="00AE3057">
      <w:pPr>
        <w:pStyle w:val="a9"/>
        <w:widowControl/>
        <w:numPr>
          <w:ilvl w:val="0"/>
          <w:numId w:val="16"/>
        </w:numPr>
        <w:tabs>
          <w:tab w:val="num" w:pos="720"/>
        </w:tabs>
        <w:autoSpaceDE/>
        <w:autoSpaceDN/>
        <w:adjustRightInd/>
        <w:spacing w:after="150" w:line="360" w:lineRule="auto"/>
        <w:ind w:left="714" w:hanging="357"/>
        <w:jc w:val="both"/>
      </w:pPr>
      <w:r>
        <w:t>подготовка проектов корпоративных решений, принятие которых требуется в процессе выпуска и размещения облигаций в соответствии с законодательством РФ и учредительными документами Эмитента;</w:t>
      </w:r>
    </w:p>
    <w:p w:rsidR="00AE3057" w:rsidRDefault="00AE3057">
      <w:pPr>
        <w:pStyle w:val="a9"/>
        <w:widowControl/>
        <w:numPr>
          <w:ilvl w:val="0"/>
          <w:numId w:val="16"/>
        </w:numPr>
        <w:tabs>
          <w:tab w:val="num" w:pos="720"/>
        </w:tabs>
        <w:autoSpaceDE/>
        <w:autoSpaceDN/>
        <w:adjustRightInd/>
        <w:spacing w:after="150" w:line="360" w:lineRule="auto"/>
        <w:ind w:left="714" w:hanging="357"/>
        <w:jc w:val="both"/>
      </w:pPr>
      <w:r>
        <w:t xml:space="preserve">предоставление рекомендаций по процедуре выпуска Облигаций, их размещения, обращения и погашения, в том числе по раскрытию информации на этапах процедуры эмиссии (размещения) Облигаций и помощь в подготовке соответствующих информационных сообщений; </w:t>
      </w:r>
    </w:p>
    <w:p w:rsidR="00AE3057" w:rsidRDefault="00AE3057">
      <w:pPr>
        <w:pStyle w:val="a9"/>
        <w:widowControl/>
        <w:numPr>
          <w:ilvl w:val="0"/>
          <w:numId w:val="16"/>
        </w:numPr>
        <w:tabs>
          <w:tab w:val="num" w:pos="720"/>
        </w:tabs>
        <w:autoSpaceDE/>
        <w:autoSpaceDN/>
        <w:adjustRightInd/>
        <w:spacing w:after="150" w:line="360" w:lineRule="auto"/>
        <w:ind w:left="714" w:hanging="357"/>
        <w:jc w:val="both"/>
      </w:pPr>
      <w:r>
        <w:t>консультационное сопровождение Эмитента по взаимодействию с биржей и депозитарием для целей заключения с ними соответствующих договоров в отношении обслуживания Облигаций и в ходе размещения Облигаций.</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предоставление информации о состоянии рынка по запросу Эмитента;</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подготовка прогноза возможного формирования цены на Облигации после их допуска к размещению;</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 xml:space="preserve">предоставление рекомендаций по ключевым условиям размещения, в </w:t>
      </w:r>
      <w:proofErr w:type="spellStart"/>
      <w:r>
        <w:t>т.ч</w:t>
      </w:r>
      <w:proofErr w:type="spellEnd"/>
      <w:r>
        <w:t>. по уровню ставки купона по Облигациям и срочности привлечения денежных средств (необходимость / отсутствие необходимости выставления промежуточных оферт) и т.д.;</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организация переговоров и представление Эмитента в процессе переговоров с потенциальными инвесторами;</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организация маркетинговых мероприятий выпуска Облигаций;</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прием заявок от потенциальных инвесторов о приобретении размещаемых ценных бумаг;</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ведение сводного реестра заявок;</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ежедневное уведомление Эмитента о ходе формирования книги заявок;</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аналитическая поддержка выпусков Облигаций в течение всего срока их обращения;</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 xml:space="preserve">формирование ликвидного вторичного рынка по Облигациям. </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осуществление иных необходимых мероприятий, направленных на успешное размещение Облигаций.</w:t>
      </w:r>
    </w:p>
    <w:p w:rsidR="00AE3057" w:rsidRDefault="00AE3057">
      <w:pPr>
        <w:widowControl/>
        <w:suppressAutoHyphens/>
        <w:autoSpaceDE/>
        <w:autoSpaceDN/>
        <w:adjustRightInd/>
        <w:spacing w:line="216"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t>III</w:t>
      </w:r>
      <w:r>
        <w:rPr>
          <w:rFonts w:ascii="Times New Roman" w:hAnsi="Times New Roman" w:cs="Times New Roman"/>
          <w:b/>
          <w:bCs/>
          <w:color w:val="000000"/>
          <w:sz w:val="24"/>
          <w:szCs w:val="24"/>
        </w:rPr>
        <w:t>. Требования к организатору Облигационного займа:</w:t>
      </w:r>
    </w:p>
    <w:p w:rsidR="00AE3057" w:rsidRDefault="00AE3057">
      <w:pPr>
        <w:widowControl/>
        <w:suppressAutoHyphens/>
        <w:autoSpaceDE/>
        <w:autoSpaceDN/>
        <w:adjustRightInd/>
        <w:spacing w:line="216" w:lineRule="auto"/>
        <w:jc w:val="both"/>
        <w:rPr>
          <w:rFonts w:ascii="Times New Roman" w:hAnsi="Times New Roman" w:cs="Times New Roman"/>
          <w:b/>
          <w:bCs/>
          <w:color w:val="000000"/>
          <w:sz w:val="24"/>
          <w:szCs w:val="24"/>
        </w:rPr>
      </w:pPr>
      <w:bookmarkStart w:id="1" w:name="_Toc154808868"/>
      <w:bookmarkStart w:id="2" w:name="_Toc154810998"/>
      <w:bookmarkStart w:id="3" w:name="_Toc154983026"/>
      <w:bookmarkStart w:id="4" w:name="_Toc157941946"/>
      <w:bookmarkStart w:id="5" w:name="_Toc159385167"/>
    </w:p>
    <w:p w:rsidR="00AE3057" w:rsidRDefault="00AE3057">
      <w:pPr>
        <w:widowControl/>
        <w:suppressAutoHyphens/>
        <w:autoSpaceDE/>
        <w:autoSpaceDN/>
        <w:adjustRightInd/>
        <w:spacing w:line="216"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 Общие требования</w:t>
      </w:r>
      <w:bookmarkEnd w:id="1"/>
      <w:bookmarkEnd w:id="2"/>
      <w:bookmarkEnd w:id="3"/>
      <w:bookmarkEnd w:id="4"/>
      <w:bookmarkEnd w:id="5"/>
      <w:r>
        <w:rPr>
          <w:rFonts w:ascii="Times New Roman" w:hAnsi="Times New Roman" w:cs="Times New Roman"/>
          <w:b/>
          <w:bCs/>
          <w:color w:val="000000"/>
          <w:sz w:val="24"/>
          <w:szCs w:val="24"/>
        </w:rPr>
        <w:t>:</w:t>
      </w:r>
    </w:p>
    <w:p w:rsidR="00AE3057" w:rsidRDefault="00AE3057">
      <w:pPr>
        <w:pStyle w:val="a9"/>
        <w:widowControl/>
        <w:autoSpaceDE/>
        <w:autoSpaceDN/>
        <w:adjustRightInd/>
        <w:spacing w:after="150" w:line="360" w:lineRule="auto"/>
        <w:ind w:left="714"/>
        <w:jc w:val="both"/>
      </w:pP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Участник закупки должен соответствовать требованиям, предъявляемым законодательством Российской Федерации к лицам, осуществляющим оказание Услуг.</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 xml:space="preserve">Заключение Договора не противоречит учредительным и другим внутренним документам Участника закупки. Заключение Договора о назначении андеррайтера и агента по приобретению выпусков Облигаций не противоречит учредительным и другим внутренним документам юридического лица, выбранного в соответствии с текстом Заявки на участие в </w:t>
      </w:r>
      <w:r w:rsidR="00D232BD">
        <w:t xml:space="preserve">ОЗП </w:t>
      </w:r>
      <w:r>
        <w:t>в качестве  лица, с которым Заказчиком может быть  заключен указанный  договор.</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Участник закупки не должен находиться в стадии ликвидации или реорганизации юридического лица и в отношении Участника закупки – юридического лица не должна проводиться процедура банкротства или исполнительного производства.</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 xml:space="preserve">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 на день рассмотрения Заявки на участие в </w:t>
      </w:r>
      <w:r w:rsidR="00F513D0">
        <w:t>ОЗП</w:t>
      </w:r>
      <w:r>
        <w:t>.</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 xml:space="preserve">В отношении Участника закупки должны отсутствовать иски, судебные разбирательства, рассматриваемые на дату подачи Заявки на участие в </w:t>
      </w:r>
      <w:r w:rsidR="00F513D0">
        <w:t>ОЗП</w:t>
      </w:r>
      <w:r>
        <w:t>, которые могут существенно отразиться на его финансовом состоянии.</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У Участника закупки не должно быть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превышал 25% (двадцать пять) процентов балансовой стоимости активов Участника закупки по данным его бухгалтерской отчетности за последний завершенный отчетный период.</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 xml:space="preserve">В отношении Участника закупки должны отсутствовать сведения в реестре недобросовестных поставщиков, предусмотренном статьей 5 Федерального </w:t>
      </w:r>
      <w:proofErr w:type="spellStart"/>
      <w:r>
        <w:t>закона</w:t>
      </w:r>
      <w:proofErr w:type="gramStart"/>
      <w:r>
        <w:t>"О</w:t>
      </w:r>
      <w:proofErr w:type="spellEnd"/>
      <w:proofErr w:type="gramEnd"/>
      <w:r>
        <w:t xml:space="preserve"> закупках товаров, работ, услуг отдельными видами юридических лиц" №223-ФЗ</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 xml:space="preserve">Участник закупки должен обладать соответствующими лицензиями на осуществление брокерской и дилерской деятельности. </w:t>
      </w:r>
    </w:p>
    <w:p w:rsidR="00AE3057" w:rsidRDefault="00AE3057">
      <w:pPr>
        <w:widowControl/>
        <w:suppressAutoHyphens/>
        <w:autoSpaceDE/>
        <w:autoSpaceDN/>
        <w:adjustRightInd/>
        <w:spacing w:line="216" w:lineRule="auto"/>
        <w:ind w:left="709" w:hanging="709"/>
        <w:jc w:val="both"/>
        <w:rPr>
          <w:rFonts w:ascii="Times New Roman" w:hAnsi="Times New Roman" w:cs="Times New Roman"/>
          <w:i/>
          <w:iCs/>
          <w:color w:val="000000"/>
          <w:sz w:val="24"/>
          <w:szCs w:val="24"/>
        </w:rPr>
      </w:pPr>
    </w:p>
    <w:p w:rsidR="00AE3057" w:rsidRDefault="00AE3057">
      <w:pPr>
        <w:widowControl/>
        <w:suppressAutoHyphens/>
        <w:autoSpaceDE/>
        <w:autoSpaceDN/>
        <w:adjustRightInd/>
        <w:spacing w:line="216" w:lineRule="auto"/>
        <w:jc w:val="both"/>
        <w:rPr>
          <w:rFonts w:ascii="Times New Roman" w:hAnsi="Times New Roman" w:cs="Times New Roman"/>
          <w:b/>
          <w:bCs/>
          <w:color w:val="000000"/>
          <w:sz w:val="24"/>
          <w:szCs w:val="24"/>
        </w:rPr>
      </w:pPr>
      <w:bookmarkStart w:id="6" w:name="_Toc154808869"/>
      <w:bookmarkStart w:id="7" w:name="_Toc154810999"/>
      <w:bookmarkStart w:id="8" w:name="_Toc154983027"/>
      <w:bookmarkStart w:id="9" w:name="_Toc157941947"/>
      <w:bookmarkStart w:id="10" w:name="_Toc159385168"/>
      <w:r>
        <w:rPr>
          <w:rFonts w:ascii="Times New Roman" w:hAnsi="Times New Roman" w:cs="Times New Roman"/>
          <w:b/>
          <w:bCs/>
          <w:color w:val="000000"/>
          <w:sz w:val="24"/>
          <w:szCs w:val="24"/>
        </w:rPr>
        <w:t>2. Специальные требования</w:t>
      </w:r>
      <w:bookmarkEnd w:id="6"/>
      <w:bookmarkEnd w:id="7"/>
      <w:bookmarkEnd w:id="8"/>
      <w:bookmarkEnd w:id="9"/>
      <w:bookmarkEnd w:id="10"/>
      <w:r>
        <w:rPr>
          <w:rFonts w:ascii="Times New Roman" w:hAnsi="Times New Roman" w:cs="Times New Roman"/>
          <w:b/>
          <w:bCs/>
          <w:color w:val="000000"/>
          <w:sz w:val="24"/>
          <w:szCs w:val="24"/>
        </w:rPr>
        <w:t>:</w:t>
      </w:r>
    </w:p>
    <w:p w:rsidR="00AE3057" w:rsidRDefault="00AE3057">
      <w:pPr>
        <w:widowControl/>
        <w:suppressAutoHyphens/>
        <w:autoSpaceDE/>
        <w:autoSpaceDN/>
        <w:adjustRightInd/>
        <w:spacing w:line="216" w:lineRule="auto"/>
        <w:jc w:val="both"/>
        <w:rPr>
          <w:rFonts w:ascii="Times New Roman" w:hAnsi="Times New Roman" w:cs="Times New Roman"/>
          <w:i/>
          <w:iCs/>
          <w:color w:val="000000"/>
          <w:sz w:val="24"/>
          <w:szCs w:val="24"/>
        </w:rPr>
      </w:pP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Суммарный объем размещенных выпусков облигаций в соответствии с данными информационного агентства ООО "</w:t>
      </w:r>
      <w:proofErr w:type="spellStart"/>
      <w:r>
        <w:t>Сбондс</w:t>
      </w:r>
      <w:proofErr w:type="gramStart"/>
      <w:r>
        <w:t>.р</w:t>
      </w:r>
      <w:proofErr w:type="gramEnd"/>
      <w:r>
        <w:t>у</w:t>
      </w:r>
      <w:proofErr w:type="spellEnd"/>
      <w:r>
        <w:t>" по итогам 2012 года (</w:t>
      </w:r>
      <w:proofErr w:type="spellStart"/>
      <w:r>
        <w:t>Рэнкинг</w:t>
      </w:r>
      <w:proofErr w:type="spellEnd"/>
      <w:r>
        <w:t xml:space="preserve"> организаторов (корпоративный сектор)) – не менее 20 млрд. руб.</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Количество выпусков рублевых облигаций эмитентов электроэнергетической отрасли (не включает атомную энергетику) в 2009-2012 годах (в роли Организатора) не менее 2 шт.</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lastRenderedPageBreak/>
        <w:t>Объем (в рублях) сделок с облигациями (кроме еврооблигаций), заключенных Организатором за 2009-2012 годы на ЗАО «Фондовая биржа ММВБ» в режиме основных торгов и режиме переговорных сделок не менее 300 млрд. руб.</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опыт работы по размещению рублевых облигаций не менее 3 лет;</w:t>
      </w:r>
    </w:p>
    <w:p w:rsidR="00AE3057" w:rsidRDefault="00AE3057">
      <w:pPr>
        <w:pStyle w:val="ac"/>
        <w:rPr>
          <w:rFonts w:ascii="Times New Roman" w:hAnsi="Times New Roman" w:cs="Times New Roman"/>
        </w:rPr>
      </w:pPr>
    </w:p>
    <w:p w:rsidR="00AE3057" w:rsidRDefault="00AE3057">
      <w:pPr>
        <w:widowControl/>
        <w:suppressAutoHyphens/>
        <w:autoSpaceDE/>
        <w:autoSpaceDN/>
        <w:adjustRightInd/>
        <w:spacing w:line="216" w:lineRule="auto"/>
        <w:jc w:val="both"/>
        <w:rPr>
          <w:sz w:val="24"/>
          <w:szCs w:val="24"/>
        </w:rPr>
      </w:pPr>
      <w:bookmarkStart w:id="11" w:name="_Toc321397174"/>
      <w:bookmarkStart w:id="12" w:name="_Toc318212251"/>
      <w:bookmarkStart w:id="13" w:name="_Toc251326076"/>
      <w:bookmarkStart w:id="14" w:name="_Toc163884756"/>
      <w:bookmarkStart w:id="15" w:name="_Toc160935613"/>
      <w:r>
        <w:rPr>
          <w:rFonts w:ascii="Times New Roman" w:hAnsi="Times New Roman" w:cs="Times New Roman"/>
          <w:b/>
          <w:bCs/>
          <w:color w:val="000000"/>
          <w:sz w:val="24"/>
          <w:szCs w:val="24"/>
        </w:rPr>
        <w:t>3. Участие коллективных участников</w:t>
      </w:r>
      <w:bookmarkEnd w:id="11"/>
      <w:bookmarkEnd w:id="12"/>
      <w:bookmarkEnd w:id="13"/>
      <w:bookmarkEnd w:id="14"/>
      <w:bookmarkEnd w:id="15"/>
      <w:r>
        <w:rPr>
          <w:rFonts w:ascii="Times New Roman" w:hAnsi="Times New Roman" w:cs="Times New Roman"/>
          <w:b/>
          <w:bCs/>
          <w:color w:val="000000"/>
          <w:sz w:val="24"/>
          <w:szCs w:val="24"/>
        </w:rPr>
        <w:t>.</w:t>
      </w:r>
    </w:p>
    <w:p w:rsidR="00AE3057" w:rsidRDefault="00AE3057">
      <w:pPr>
        <w:pStyle w:val="a9"/>
        <w:widowControl/>
        <w:autoSpaceDE/>
        <w:autoSpaceDN/>
        <w:adjustRightInd/>
        <w:spacing w:after="150" w:line="360" w:lineRule="auto"/>
        <w:ind w:left="0"/>
        <w:jc w:val="both"/>
      </w:pPr>
    </w:p>
    <w:p w:rsidR="00AE3057" w:rsidRDefault="00AE3057">
      <w:pPr>
        <w:pStyle w:val="a9"/>
        <w:widowControl/>
        <w:autoSpaceDE/>
        <w:autoSpaceDN/>
        <w:adjustRightInd/>
        <w:spacing w:after="150" w:line="360" w:lineRule="auto"/>
        <w:ind w:left="0"/>
        <w:jc w:val="both"/>
      </w:pPr>
      <w:r>
        <w:t>В ОЗП могут участвовать не только юридические лица самостоятельно, но и их объединения, способные на законных основаниях оказать требуемые услуги. Если Предложение подается коллективным участником, дополнительно должны быть выполнены нижеприведенные требования:</w:t>
      </w:r>
    </w:p>
    <w:p w:rsidR="00AE3057" w:rsidRDefault="00AE3057">
      <w:pPr>
        <w:pStyle w:val="a9"/>
        <w:widowControl/>
        <w:numPr>
          <w:ilvl w:val="0"/>
          <w:numId w:val="17"/>
        </w:numPr>
        <w:autoSpaceDE/>
        <w:autoSpaceDN/>
        <w:adjustRightInd/>
        <w:spacing w:after="150" w:line="360" w:lineRule="auto"/>
        <w:jc w:val="both"/>
      </w:pPr>
      <w:r>
        <w:t>Коллективный участник не может состоять из более</w:t>
      </w:r>
      <w:proofErr w:type="gramStart"/>
      <w:r>
        <w:t>,</w:t>
      </w:r>
      <w:proofErr w:type="gramEnd"/>
      <w:r>
        <w:t xml:space="preserve"> чем двух юридических лиц.</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Любая организация может участвовать только в одном объединении, в этом случае данная организация не имеет права принимать участие в ОЗП самостоятельно.</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Предложение должно включать документы, подтверждающие соответствие каждого члена объединения установленным требованиям;</w:t>
      </w:r>
    </w:p>
    <w:p w:rsidR="00AE3057" w:rsidRDefault="00AE3057">
      <w:pPr>
        <w:pStyle w:val="a9"/>
        <w:widowControl/>
        <w:numPr>
          <w:ilvl w:val="0"/>
          <w:numId w:val="17"/>
        </w:numPr>
        <w:autoSpaceDE/>
        <w:autoSpaceDN/>
        <w:adjustRightInd/>
        <w:spacing w:after="150" w:line="360" w:lineRule="auto"/>
        <w:jc w:val="both"/>
      </w:pPr>
      <w:r>
        <w:t>В соглашении между коллективным участником и Эмитентом должна быть установлена солидарная ответственность за своевременное и полное исполнение Договора;</w:t>
      </w:r>
    </w:p>
    <w:p w:rsidR="00AE3057" w:rsidRDefault="00AE3057">
      <w:pPr>
        <w:pStyle w:val="a9"/>
        <w:widowControl/>
        <w:numPr>
          <w:ilvl w:val="0"/>
          <w:numId w:val="17"/>
        </w:numPr>
        <w:tabs>
          <w:tab w:val="num" w:pos="720"/>
        </w:tabs>
        <w:autoSpaceDE/>
        <w:autoSpaceDN/>
        <w:adjustRightInd/>
        <w:spacing w:after="150" w:line="360" w:lineRule="auto"/>
        <w:ind w:left="714" w:hanging="357"/>
        <w:jc w:val="both"/>
      </w:pPr>
      <w:r>
        <w:t>Предложение дополнительно может включать сведения о распределении объемов, стоимости и сроков оказания услуг между членами коллективного участника (в произвольной форме).</w:t>
      </w:r>
    </w:p>
    <w:p w:rsidR="00AE3057" w:rsidRDefault="00AE3057">
      <w:pPr>
        <w:pStyle w:val="a9"/>
        <w:widowControl/>
        <w:autoSpaceDE/>
        <w:autoSpaceDN/>
        <w:adjustRightInd/>
        <w:spacing w:after="150" w:line="360" w:lineRule="auto"/>
        <w:ind w:left="0"/>
        <w:jc w:val="both"/>
      </w:pPr>
      <w:r>
        <w:t xml:space="preserve">При оценке количественных параметров деятельности членов объединения эти параметры суммируются. </w:t>
      </w:r>
    </w:p>
    <w:p w:rsidR="00AE3057" w:rsidRDefault="00AE3057">
      <w:pPr>
        <w:pStyle w:val="a9"/>
        <w:widowControl/>
        <w:autoSpaceDE/>
        <w:autoSpaceDN/>
        <w:adjustRightInd/>
        <w:spacing w:after="150" w:line="360" w:lineRule="auto"/>
        <w:ind w:left="0"/>
        <w:jc w:val="both"/>
      </w:pPr>
      <w:r>
        <w:t xml:space="preserve">Предложение, которое подает коллективный участник, может быть отклонено, если в процессе переговоров выяснится, что из состава коллективного участника вышло одно из юридических лиц, составляющих коллективного участника,  а оставшееся юридическое лицо в составе коллективного участника, с точки зрения экспертов и Комиссии по подведению итогов ОЗП, не </w:t>
      </w:r>
      <w:proofErr w:type="gramStart"/>
      <w:r>
        <w:t>способна</w:t>
      </w:r>
      <w:proofErr w:type="gramEnd"/>
      <w:r>
        <w:t xml:space="preserve"> самостоятельно выполнить Договор.</w:t>
      </w:r>
    </w:p>
    <w:p w:rsidR="00AE3057" w:rsidRDefault="00AE3057">
      <w:pPr>
        <w:pStyle w:val="a9"/>
        <w:widowControl/>
        <w:autoSpaceDE/>
        <w:autoSpaceDN/>
        <w:adjustRightInd/>
        <w:spacing w:after="150" w:line="360" w:lineRule="auto"/>
        <w:ind w:left="0"/>
        <w:jc w:val="both"/>
      </w:pPr>
    </w:p>
    <w:p w:rsidR="00AE3057" w:rsidRDefault="00AE3057">
      <w:pPr>
        <w:pStyle w:val="a9"/>
        <w:widowControl/>
        <w:autoSpaceDE/>
        <w:autoSpaceDN/>
        <w:adjustRightInd/>
        <w:spacing w:after="150" w:line="360" w:lineRule="auto"/>
        <w:ind w:left="0"/>
        <w:jc w:val="both"/>
      </w:pPr>
    </w:p>
    <w:p w:rsidR="00AE3057" w:rsidRDefault="00AE3057">
      <w:pPr>
        <w:widowControl/>
        <w:autoSpaceDE/>
        <w:autoSpaceDN/>
        <w:adjustRightInd/>
        <w:spacing w:line="216" w:lineRule="auto"/>
        <w:jc w:val="center"/>
        <w:rPr>
          <w:rFonts w:ascii="Times New Roman" w:hAnsi="Times New Roman" w:cs="Times New Roman"/>
          <w:b/>
          <w:bCs/>
          <w:i/>
          <w:iCs/>
          <w:color w:val="000000"/>
        </w:rPr>
      </w:pPr>
      <w:r>
        <w:rPr>
          <w:rFonts w:ascii="Times New Roman" w:hAnsi="Times New Roman" w:cs="Times New Roman"/>
          <w:b/>
          <w:bCs/>
          <w:i/>
          <w:iCs/>
          <w:color w:val="000000"/>
        </w:rPr>
        <w:br w:type="page"/>
      </w:r>
      <w:r>
        <w:rPr>
          <w:rFonts w:ascii="Times New Roman" w:hAnsi="Times New Roman" w:cs="Times New Roman"/>
          <w:b/>
          <w:bCs/>
          <w:i/>
          <w:iCs/>
          <w:color w:val="000000"/>
        </w:rPr>
        <w:lastRenderedPageBreak/>
        <w:t>Приложение к техническому заданию.</w:t>
      </w:r>
    </w:p>
    <w:p w:rsidR="00AE3057" w:rsidRDefault="00AE3057">
      <w:pPr>
        <w:widowControl/>
        <w:autoSpaceDE/>
        <w:autoSpaceDN/>
        <w:adjustRightInd/>
        <w:spacing w:line="216" w:lineRule="auto"/>
        <w:jc w:val="right"/>
        <w:rPr>
          <w:rFonts w:ascii="Times New Roman" w:hAnsi="Times New Roman" w:cs="Times New Roman"/>
          <w:b/>
          <w:bCs/>
          <w:i/>
          <w:iCs/>
          <w:color w:val="000000"/>
        </w:rPr>
      </w:pPr>
    </w:p>
    <w:p w:rsidR="00AE3057" w:rsidRDefault="00AE3057">
      <w:pPr>
        <w:widowControl/>
        <w:autoSpaceDE/>
        <w:autoSpaceDN/>
        <w:adjustRightInd/>
        <w:spacing w:line="216" w:lineRule="auto"/>
        <w:rPr>
          <w:rFonts w:ascii="Times New Roman" w:hAnsi="Times New Roman" w:cs="Times New Roman"/>
          <w:b/>
          <w:bCs/>
          <w:i/>
          <w:iCs/>
          <w:color w:val="000000"/>
          <w:sz w:val="24"/>
          <w:szCs w:val="24"/>
        </w:rPr>
      </w:pPr>
      <w:r>
        <w:rPr>
          <w:rFonts w:ascii="Times New Roman" w:hAnsi="Times New Roman" w:cs="Times New Roman"/>
          <w:b/>
          <w:bCs/>
          <w:i/>
          <w:iCs/>
          <w:color w:val="000000"/>
        </w:rPr>
        <w:t xml:space="preserve"> «Порядок оценки и ранжирования заявок» </w:t>
      </w:r>
    </w:p>
    <w:p w:rsidR="00AE3057" w:rsidRDefault="00AE3057">
      <w:pPr>
        <w:widowControl/>
        <w:suppressAutoHyphens/>
        <w:autoSpaceDE/>
        <w:autoSpaceDN/>
        <w:adjustRightInd/>
        <w:spacing w:line="216" w:lineRule="auto"/>
        <w:jc w:val="both"/>
        <w:rPr>
          <w:rFonts w:ascii="Times New Roman" w:hAnsi="Times New Roman" w:cs="Times New Roman"/>
          <w:b/>
          <w:bCs/>
          <w:color w:val="000000"/>
          <w:sz w:val="24"/>
          <w:szCs w:val="24"/>
        </w:rPr>
      </w:pPr>
    </w:p>
    <w:p w:rsidR="00AE3057" w:rsidRDefault="00AE3057">
      <w:pPr>
        <w:ind w:left="1077"/>
        <w:jc w:val="both"/>
      </w:pPr>
    </w:p>
    <w:p w:rsidR="00AE3057" w:rsidRDefault="00AE3057">
      <w:pPr>
        <w:ind w:left="1077"/>
        <w:jc w:val="both"/>
      </w:pPr>
    </w:p>
    <w:p w:rsidR="00AE3057" w:rsidRDefault="00AE3057">
      <w:pPr>
        <w:tabs>
          <w:tab w:val="left" w:pos="720"/>
        </w:tabs>
        <w:ind w:left="180"/>
        <w:jc w:val="center"/>
        <w:rPr>
          <w:b/>
          <w:bCs/>
          <w:color w:val="000000"/>
          <w:sz w:val="24"/>
          <w:szCs w:val="24"/>
        </w:rPr>
      </w:pPr>
      <w:r>
        <w:rPr>
          <w:b/>
          <w:bCs/>
          <w:color w:val="000000"/>
          <w:sz w:val="24"/>
          <w:szCs w:val="24"/>
        </w:rPr>
        <w:t>Критерии оценки заявок на участие в открытом запросе предложений, их содержание, значимость и методика оценки.</w:t>
      </w:r>
    </w:p>
    <w:p w:rsidR="00AE3057" w:rsidRDefault="00AE3057">
      <w:pPr>
        <w:tabs>
          <w:tab w:val="left" w:pos="720"/>
        </w:tabs>
        <w:ind w:left="180"/>
        <w:jc w:val="center"/>
        <w:rPr>
          <w:b/>
          <w:bCs/>
          <w:color w:val="000000"/>
          <w:sz w:val="24"/>
          <w:szCs w:val="24"/>
        </w:rPr>
      </w:pPr>
    </w:p>
    <w:tbl>
      <w:tblPr>
        <w:tblW w:w="10065" w:type="dxa"/>
        <w:tblInd w:w="-106" w:type="dxa"/>
        <w:tblLayout w:type="fixed"/>
        <w:tblLook w:val="0000" w:firstRow="0" w:lastRow="0" w:firstColumn="0" w:lastColumn="0" w:noHBand="0" w:noVBand="0"/>
      </w:tblPr>
      <w:tblGrid>
        <w:gridCol w:w="709"/>
        <w:gridCol w:w="1980"/>
        <w:gridCol w:w="7376"/>
      </w:tblGrid>
      <w:tr w:rsidR="00AE3057">
        <w:trPr>
          <w:trHeight w:val="980"/>
        </w:trPr>
        <w:tc>
          <w:tcPr>
            <w:tcW w:w="709" w:type="dxa"/>
            <w:tcBorders>
              <w:top w:val="single" w:sz="4" w:space="0" w:color="auto"/>
              <w:left w:val="single" w:sz="4" w:space="0" w:color="auto"/>
              <w:bottom w:val="single" w:sz="4" w:space="0" w:color="auto"/>
              <w:right w:val="single" w:sz="4" w:space="0" w:color="auto"/>
            </w:tcBorders>
            <w:vAlign w:val="center"/>
          </w:tcPr>
          <w:p w:rsidR="00AE3057" w:rsidRDefault="00AE3057">
            <w:pPr>
              <w:pStyle w:val="3"/>
              <w:ind w:left="-108" w:right="-113"/>
              <w:rPr>
                <w:rFonts w:ascii="Arial" w:hAnsi="Arial" w:cs="Arial"/>
                <w:sz w:val="20"/>
                <w:szCs w:val="20"/>
              </w:rPr>
            </w:pPr>
            <w:r>
              <w:rPr>
                <w:rFonts w:ascii="Arial" w:hAnsi="Arial" w:cs="Arial"/>
                <w:sz w:val="20"/>
                <w:szCs w:val="20"/>
              </w:rPr>
              <w:t>№ пункта</w:t>
            </w:r>
          </w:p>
        </w:tc>
        <w:tc>
          <w:tcPr>
            <w:tcW w:w="1980" w:type="dxa"/>
            <w:tcBorders>
              <w:top w:val="single" w:sz="4" w:space="0" w:color="auto"/>
              <w:left w:val="single" w:sz="4" w:space="0" w:color="auto"/>
              <w:bottom w:val="single" w:sz="4" w:space="0" w:color="auto"/>
              <w:right w:val="single" w:sz="4" w:space="0" w:color="auto"/>
            </w:tcBorders>
            <w:vAlign w:val="center"/>
          </w:tcPr>
          <w:p w:rsidR="00AE3057" w:rsidRDefault="00AE3057">
            <w:pPr>
              <w:suppressLineNumbers/>
              <w:suppressAutoHyphens/>
              <w:ind w:right="-2" w:firstLine="176"/>
              <w:jc w:val="center"/>
              <w:rPr>
                <w:b/>
                <w:bCs/>
              </w:rPr>
            </w:pPr>
            <w:r>
              <w:rPr>
                <w:b/>
                <w:bCs/>
              </w:rPr>
              <w:t>Наименование</w:t>
            </w:r>
          </w:p>
        </w:tc>
        <w:tc>
          <w:tcPr>
            <w:tcW w:w="7376" w:type="dxa"/>
            <w:tcBorders>
              <w:top w:val="single" w:sz="4" w:space="0" w:color="auto"/>
              <w:left w:val="single" w:sz="4" w:space="0" w:color="auto"/>
              <w:bottom w:val="single" w:sz="4" w:space="0" w:color="auto"/>
              <w:right w:val="single" w:sz="4" w:space="0" w:color="auto"/>
            </w:tcBorders>
            <w:vAlign w:val="center"/>
          </w:tcPr>
          <w:p w:rsidR="00AE3057" w:rsidRDefault="00AE3057">
            <w:pPr>
              <w:ind w:right="-2"/>
              <w:jc w:val="center"/>
              <w:rPr>
                <w:b/>
                <w:bCs/>
              </w:rPr>
            </w:pPr>
            <w:r>
              <w:rPr>
                <w:b/>
                <w:bCs/>
              </w:rPr>
              <w:t>Информация</w:t>
            </w:r>
          </w:p>
        </w:tc>
      </w:tr>
      <w:tr w:rsidR="00AE3057">
        <w:trPr>
          <w:trHeight w:val="980"/>
        </w:trPr>
        <w:tc>
          <w:tcPr>
            <w:tcW w:w="709" w:type="dxa"/>
            <w:tcBorders>
              <w:top w:val="single" w:sz="4" w:space="0" w:color="auto"/>
              <w:left w:val="single" w:sz="4" w:space="0" w:color="auto"/>
              <w:bottom w:val="single" w:sz="4" w:space="0" w:color="auto"/>
              <w:right w:val="single" w:sz="4" w:space="0" w:color="auto"/>
            </w:tcBorders>
          </w:tcPr>
          <w:p w:rsidR="00AE3057" w:rsidRDefault="00AE3057">
            <w:pPr>
              <w:pStyle w:val="3"/>
              <w:keepNext w:val="0"/>
              <w:ind w:left="34" w:right="-2"/>
              <w:rPr>
                <w:rFonts w:ascii="Arial" w:hAnsi="Arial" w:cs="Arial"/>
                <w:b w:val="0"/>
                <w:bCs w:val="0"/>
                <w:sz w:val="20"/>
                <w:szCs w:val="20"/>
              </w:rPr>
            </w:pPr>
          </w:p>
          <w:p w:rsidR="00AE3057" w:rsidRDefault="00AE3057"/>
        </w:tc>
        <w:tc>
          <w:tcPr>
            <w:tcW w:w="1980" w:type="dxa"/>
            <w:tcBorders>
              <w:top w:val="single" w:sz="4" w:space="0" w:color="auto"/>
              <w:left w:val="single" w:sz="4" w:space="0" w:color="auto"/>
              <w:bottom w:val="single" w:sz="4" w:space="0" w:color="auto"/>
              <w:right w:val="single" w:sz="4" w:space="0" w:color="auto"/>
            </w:tcBorders>
          </w:tcPr>
          <w:p w:rsidR="00AE3057" w:rsidRDefault="00AE3057">
            <w:pPr>
              <w:suppressLineNumbers/>
              <w:suppressAutoHyphens/>
              <w:ind w:right="-2" w:firstLine="176"/>
              <w:jc w:val="center"/>
            </w:pPr>
            <w:r>
              <w:t>Критерии оценки заявок на участие в открытом запросе предложений, их содержание и значимость</w:t>
            </w:r>
          </w:p>
        </w:tc>
        <w:tc>
          <w:tcPr>
            <w:tcW w:w="7376" w:type="dxa"/>
            <w:tcBorders>
              <w:top w:val="single" w:sz="4" w:space="0" w:color="auto"/>
              <w:left w:val="single" w:sz="4" w:space="0" w:color="auto"/>
              <w:bottom w:val="single" w:sz="4" w:space="0" w:color="auto"/>
              <w:right w:val="single" w:sz="4" w:space="0" w:color="auto"/>
            </w:tcBorders>
          </w:tcPr>
          <w:p w:rsidR="00AE3057" w:rsidRDefault="00AE3057">
            <w:pPr>
              <w:ind w:right="-2"/>
              <w:rPr>
                <w:b/>
                <w:bCs/>
              </w:rPr>
            </w:pPr>
            <w:r>
              <w:rPr>
                <w:b/>
                <w:bCs/>
              </w:rPr>
              <w:t>1. ЦЕНА ДОГОВОРА  (значимость критерия – 25%)</w:t>
            </w:r>
          </w:p>
          <w:p w:rsidR="00AE3057" w:rsidRDefault="00AE3057">
            <w:pPr>
              <w:keepNext/>
              <w:outlineLvl w:val="0"/>
            </w:pPr>
            <w:r>
              <w:t>Количество баллов, присуждаемое заявке по критерию "Цена Договора", определяется по формуле:</w:t>
            </w:r>
          </w:p>
          <w:p w:rsidR="00AE3057" w:rsidRDefault="00AE3057">
            <w:pPr>
              <w:keepNext/>
              <w:outlineLvl w:val="0"/>
            </w:pPr>
            <w:r>
              <w:rPr>
                <w:position w:val="-38"/>
              </w:rPr>
              <w:object w:dxaOrig="278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42.55pt" o:ole="" fillcolor="window">
                  <v:imagedata r:id="rId6" o:title=""/>
                </v:shape>
                <o:OLEObject Type="Embed" ProgID="Equation.3" ShapeID="_x0000_i1025" DrawAspect="Content" ObjectID="_1420025936" r:id="rId7"/>
              </w:object>
            </w:r>
            <w:r>
              <w:t>, где:</w:t>
            </w:r>
          </w:p>
          <w:p w:rsidR="00AE3057" w:rsidRDefault="00AE3057">
            <w:pPr>
              <w:keepNext/>
              <w:outlineLvl w:val="0"/>
            </w:pPr>
            <w:r>
              <w:rPr>
                <w:position w:val="-20"/>
              </w:rPr>
              <w:object w:dxaOrig="460" w:dyaOrig="440">
                <v:shape id="_x0000_i1026" type="#_x0000_t75" style="width:23.8pt;height:22.55pt" o:ole="" fillcolor="window">
                  <v:imagedata r:id="rId8" o:title=""/>
                </v:shape>
                <o:OLEObject Type="Embed" ProgID="Equation.3" ShapeID="_x0000_i1026" DrawAspect="Content" ObjectID="_1420025937" r:id="rId9"/>
              </w:object>
            </w:r>
            <w:r>
              <w:t> - количество баллов, присуждаемое i-й заявке по указанному критерию,</w:t>
            </w:r>
          </w:p>
          <w:p w:rsidR="00AE3057" w:rsidRDefault="00AE3057">
            <w:pPr>
              <w:keepNext/>
              <w:outlineLvl w:val="0"/>
            </w:pPr>
            <w:proofErr w:type="spellStart"/>
            <w:r>
              <w:t>Amax</w:t>
            </w:r>
            <w:proofErr w:type="spellEnd"/>
            <w:r>
              <w:t> - расчетная (максимальная) цена контракта, установленная в документации к открытому запросу предложений,</w:t>
            </w:r>
          </w:p>
          <w:p w:rsidR="00AE3057" w:rsidRDefault="00AE3057">
            <w:pPr>
              <w:keepNext/>
              <w:outlineLvl w:val="0"/>
            </w:pPr>
            <w:proofErr w:type="spellStart"/>
            <w:r>
              <w:t>A</w:t>
            </w:r>
            <w:proofErr w:type="gramStart"/>
            <w:r>
              <w:t>б</w:t>
            </w:r>
            <w:proofErr w:type="gramEnd"/>
            <w:r>
              <w:t>i</w:t>
            </w:r>
            <w:proofErr w:type="spellEnd"/>
            <w:r>
              <w:t> - предложение i-</w:t>
            </w:r>
            <w:proofErr w:type="spellStart"/>
            <w:r>
              <w:t>го</w:t>
            </w:r>
            <w:proofErr w:type="spellEnd"/>
            <w:r>
              <w:t xml:space="preserve"> участника открытого запроса предложений по базовому вознаграждению</w:t>
            </w:r>
          </w:p>
          <w:p w:rsidR="00AE3057" w:rsidRDefault="00AE3057">
            <w:pPr>
              <w:keepNext/>
              <w:outlineLvl w:val="0"/>
            </w:pPr>
          </w:p>
          <w:p w:rsidR="00AE3057" w:rsidRDefault="00AE3057">
            <w:pPr>
              <w:keepNext/>
              <w:outlineLvl w:val="0"/>
              <w:rPr>
                <w:b/>
                <w:bCs/>
              </w:rPr>
            </w:pPr>
            <w:r>
              <w:rPr>
                <w:b/>
                <w:bCs/>
              </w:rPr>
              <w:t>2. КАЧЕСТВО ОКАЗАНИЯ УСЛУГ И КВАЛИФИКАЦИЯ УЧАСТНИКА (значимость критерия – 75%)</w:t>
            </w:r>
          </w:p>
          <w:p w:rsidR="00AE3057" w:rsidRDefault="00AE3057">
            <w:pPr>
              <w:ind w:right="-2"/>
              <w:rPr>
                <w:b/>
                <w:bCs/>
                <w:spacing w:val="1"/>
              </w:rPr>
            </w:pPr>
            <w:r>
              <w:rPr>
                <w:b/>
                <w:bCs/>
                <w:spacing w:val="1"/>
              </w:rPr>
              <w:t xml:space="preserve">2.1. </w:t>
            </w:r>
            <w:r>
              <w:rPr>
                <w:spacing w:val="1"/>
              </w:rPr>
              <w:t>Суммарный объем размещенных выпусков облигаций в соответствии с данными информационного агентства ООО "</w:t>
            </w:r>
            <w:proofErr w:type="spellStart"/>
            <w:r>
              <w:rPr>
                <w:spacing w:val="1"/>
              </w:rPr>
              <w:t>Сбондс</w:t>
            </w:r>
            <w:proofErr w:type="gramStart"/>
            <w:r>
              <w:rPr>
                <w:spacing w:val="1"/>
              </w:rPr>
              <w:t>.р</w:t>
            </w:r>
            <w:proofErr w:type="gramEnd"/>
            <w:r>
              <w:rPr>
                <w:spacing w:val="1"/>
              </w:rPr>
              <w:t>у</w:t>
            </w:r>
            <w:proofErr w:type="spellEnd"/>
            <w:r>
              <w:rPr>
                <w:spacing w:val="1"/>
              </w:rPr>
              <w:t>" по итогам 2012 года (</w:t>
            </w:r>
            <w:proofErr w:type="spellStart"/>
            <w:r>
              <w:rPr>
                <w:spacing w:val="1"/>
              </w:rPr>
              <w:t>Рэнкинг</w:t>
            </w:r>
            <w:proofErr w:type="spellEnd"/>
            <w:r>
              <w:rPr>
                <w:spacing w:val="1"/>
              </w:rPr>
              <w:t xml:space="preserve"> организаторов (корпоративный сектор)) (</w:t>
            </w:r>
            <w:proofErr w:type="spellStart"/>
            <w:r>
              <w:rPr>
                <w:b/>
                <w:bCs/>
                <w:spacing w:val="1"/>
              </w:rPr>
              <w:t>Qai</w:t>
            </w:r>
            <w:proofErr w:type="spellEnd"/>
            <w:r>
              <w:rPr>
                <w:spacing w:val="1"/>
              </w:rPr>
              <w:t xml:space="preserve">–количество баллов, присуждаемое заявке по данному подкритерию), максимальное значение баллов – </w:t>
            </w:r>
            <w:r>
              <w:rPr>
                <w:b/>
                <w:bCs/>
                <w:spacing w:val="1"/>
              </w:rPr>
              <w:t>35 баллов:</w:t>
            </w:r>
          </w:p>
          <w:p w:rsidR="00AE3057" w:rsidRDefault="00AE3057">
            <w:pPr>
              <w:ind w:right="-2"/>
              <w:rPr>
                <w:b/>
                <w:bCs/>
                <w:spacing w:val="1"/>
              </w:rPr>
            </w:pPr>
          </w:p>
          <w:p w:rsidR="00AE3057" w:rsidRPr="00F31D74" w:rsidRDefault="00AE3057">
            <w:pPr>
              <w:ind w:right="-2"/>
              <w:jc w:val="center"/>
              <w:rPr>
                <w:spacing w:val="1"/>
              </w:rPr>
            </w:pPr>
            <w:proofErr w:type="spellStart"/>
            <w:r>
              <w:rPr>
                <w:spacing w:val="1"/>
                <w:lang w:val="en-US"/>
              </w:rPr>
              <w:t>Qai</w:t>
            </w:r>
            <w:proofErr w:type="spellEnd"/>
            <w:r w:rsidRPr="00F31D74">
              <w:rPr>
                <w:spacing w:val="1"/>
              </w:rPr>
              <w:t>=</w:t>
            </w:r>
            <w:proofErr w:type="spellStart"/>
            <w:r>
              <w:rPr>
                <w:spacing w:val="1"/>
                <w:lang w:val="en-US"/>
              </w:rPr>
              <w:t>Vai</w:t>
            </w:r>
            <w:proofErr w:type="spellEnd"/>
            <w:r w:rsidRPr="00F31D74">
              <w:rPr>
                <w:spacing w:val="1"/>
              </w:rPr>
              <w:t>/</w:t>
            </w:r>
            <w:proofErr w:type="spellStart"/>
            <w:r>
              <w:rPr>
                <w:spacing w:val="1"/>
                <w:lang w:val="en-US"/>
              </w:rPr>
              <w:t>Vamax</w:t>
            </w:r>
            <w:proofErr w:type="spellEnd"/>
            <w:r w:rsidRPr="00F31D74">
              <w:rPr>
                <w:spacing w:val="1"/>
              </w:rPr>
              <w:t>*</w:t>
            </w:r>
            <w:proofErr w:type="spellStart"/>
            <w:r>
              <w:rPr>
                <w:spacing w:val="1"/>
                <w:lang w:val="en-US"/>
              </w:rPr>
              <w:t>Ka</w:t>
            </w:r>
            <w:proofErr w:type="spellEnd"/>
            <w:r w:rsidRPr="00F31D74">
              <w:rPr>
                <w:b/>
                <w:bCs/>
                <w:spacing w:val="1"/>
              </w:rPr>
              <w:t xml:space="preserve">, </w:t>
            </w:r>
            <w:r>
              <w:rPr>
                <w:spacing w:val="1"/>
              </w:rPr>
              <w:t>где</w:t>
            </w:r>
          </w:p>
          <w:p w:rsidR="00AE3057" w:rsidRPr="00F31D74" w:rsidRDefault="00AE3057">
            <w:pPr>
              <w:ind w:right="-2"/>
              <w:jc w:val="center"/>
              <w:rPr>
                <w:spacing w:val="1"/>
              </w:rPr>
            </w:pPr>
          </w:p>
          <w:p w:rsidR="00AE3057" w:rsidRDefault="00AE3057">
            <w:pPr>
              <w:ind w:right="-2"/>
            </w:pPr>
            <w:proofErr w:type="spellStart"/>
            <w:r>
              <w:rPr>
                <w:spacing w:val="1"/>
              </w:rPr>
              <w:t>Vamax</w:t>
            </w:r>
            <w:proofErr w:type="spellEnd"/>
            <w:r>
              <w:rPr>
                <w:spacing w:val="1"/>
              </w:rPr>
              <w:t xml:space="preserve">  - максимальное значение по данному показателю (</w:t>
            </w:r>
            <w:r>
              <w:t>из  числа участников, подавших заявки),</w:t>
            </w:r>
          </w:p>
          <w:p w:rsidR="00AE3057" w:rsidRDefault="00AE3057">
            <w:pPr>
              <w:ind w:right="-2"/>
            </w:pPr>
            <w:proofErr w:type="spellStart"/>
            <w:r>
              <w:rPr>
                <w:spacing w:val="1"/>
              </w:rPr>
              <w:t>Vai</w:t>
            </w:r>
            <w:proofErr w:type="spellEnd"/>
            <w:r>
              <w:rPr>
                <w:spacing w:val="1"/>
              </w:rPr>
              <w:t xml:space="preserve"> - значение данного показателя </w:t>
            </w:r>
            <w:r>
              <w:t>i-</w:t>
            </w:r>
            <w:proofErr w:type="spellStart"/>
            <w:r>
              <w:t>го</w:t>
            </w:r>
            <w:proofErr w:type="spellEnd"/>
            <w:r>
              <w:t xml:space="preserve"> участника открытого запроса предложений, </w:t>
            </w:r>
          </w:p>
          <w:p w:rsidR="00AE3057" w:rsidRDefault="00AE3057">
            <w:pPr>
              <w:ind w:right="-2"/>
              <w:rPr>
                <w:spacing w:val="1"/>
              </w:rPr>
            </w:pPr>
            <w:proofErr w:type="spellStart"/>
            <w:r>
              <w:rPr>
                <w:spacing w:val="1"/>
              </w:rPr>
              <w:t>Ka</w:t>
            </w:r>
            <w:proofErr w:type="spellEnd"/>
            <w:r>
              <w:rPr>
                <w:spacing w:val="1"/>
              </w:rPr>
              <w:t xml:space="preserve"> - максимальное значение баллов по критерию.</w:t>
            </w:r>
          </w:p>
          <w:p w:rsidR="00AE3057" w:rsidRDefault="00AE3057">
            <w:pPr>
              <w:ind w:right="-2"/>
              <w:rPr>
                <w:spacing w:val="1"/>
              </w:rPr>
            </w:pPr>
          </w:p>
          <w:p w:rsidR="00AE3057" w:rsidRDefault="00AE3057">
            <w:pPr>
              <w:ind w:right="-2"/>
              <w:rPr>
                <w:spacing w:val="1"/>
              </w:rPr>
            </w:pPr>
            <w:r>
              <w:rPr>
                <w:b/>
                <w:bCs/>
                <w:spacing w:val="1"/>
              </w:rPr>
              <w:t>2.2.</w:t>
            </w:r>
            <w:r>
              <w:rPr>
                <w:spacing w:val="1"/>
              </w:rPr>
              <w:t xml:space="preserve"> Количество выпусков рублевых облигаций эмитентов электроэнергетической отрасли (не включает атомную энергетику) в 2009-2012 годах (в роли Организатора) (</w:t>
            </w:r>
            <w:proofErr w:type="spellStart"/>
            <w:r>
              <w:rPr>
                <w:b/>
                <w:bCs/>
                <w:spacing w:val="1"/>
              </w:rPr>
              <w:t>Qbi</w:t>
            </w:r>
            <w:proofErr w:type="spellEnd"/>
            <w:r>
              <w:rPr>
                <w:spacing w:val="1"/>
              </w:rPr>
              <w:t xml:space="preserve">–количество баллов, присуждаемое заявке по данному подкритерию), максимальное значение баллов – </w:t>
            </w:r>
            <w:r>
              <w:rPr>
                <w:b/>
                <w:bCs/>
                <w:spacing w:val="1"/>
              </w:rPr>
              <w:t>35 баллов</w:t>
            </w:r>
            <w:r>
              <w:rPr>
                <w:spacing w:val="1"/>
              </w:rPr>
              <w:t>:</w:t>
            </w:r>
          </w:p>
          <w:p w:rsidR="00AE3057" w:rsidRDefault="00AE3057">
            <w:pPr>
              <w:ind w:right="-2"/>
              <w:rPr>
                <w:spacing w:val="1"/>
              </w:rPr>
            </w:pPr>
          </w:p>
          <w:p w:rsidR="00AE3057" w:rsidRDefault="00AE3057">
            <w:pPr>
              <w:ind w:right="-2"/>
              <w:jc w:val="center"/>
              <w:rPr>
                <w:spacing w:val="1"/>
              </w:rPr>
            </w:pPr>
            <w:proofErr w:type="spellStart"/>
            <w:r>
              <w:rPr>
                <w:spacing w:val="1"/>
                <w:lang w:val="en-US"/>
              </w:rPr>
              <w:t>Qbi</w:t>
            </w:r>
            <w:proofErr w:type="spellEnd"/>
            <w:r>
              <w:rPr>
                <w:spacing w:val="1"/>
              </w:rPr>
              <w:t>=</w:t>
            </w:r>
            <w:proofErr w:type="spellStart"/>
            <w:r>
              <w:rPr>
                <w:spacing w:val="1"/>
                <w:lang w:val="en-US"/>
              </w:rPr>
              <w:t>Vbi</w:t>
            </w:r>
            <w:proofErr w:type="spellEnd"/>
            <w:r>
              <w:rPr>
                <w:spacing w:val="1"/>
              </w:rPr>
              <w:t>/</w:t>
            </w:r>
            <w:proofErr w:type="spellStart"/>
            <w:r>
              <w:rPr>
                <w:spacing w:val="1"/>
                <w:lang w:val="en-US"/>
              </w:rPr>
              <w:t>Vbmax</w:t>
            </w:r>
            <w:proofErr w:type="spellEnd"/>
            <w:r>
              <w:rPr>
                <w:spacing w:val="1"/>
              </w:rPr>
              <w:t>*</w:t>
            </w:r>
            <w:r>
              <w:rPr>
                <w:spacing w:val="1"/>
                <w:lang w:val="en-US"/>
              </w:rPr>
              <w:t>Kb</w:t>
            </w:r>
            <w:r>
              <w:rPr>
                <w:spacing w:val="1"/>
              </w:rPr>
              <w:t>, где</w:t>
            </w:r>
          </w:p>
          <w:p w:rsidR="00AE3057" w:rsidRDefault="00AE3057">
            <w:pPr>
              <w:ind w:right="-2"/>
              <w:jc w:val="center"/>
              <w:rPr>
                <w:spacing w:val="1"/>
              </w:rPr>
            </w:pPr>
          </w:p>
          <w:p w:rsidR="00AE3057" w:rsidRDefault="00AE3057">
            <w:pPr>
              <w:ind w:right="-2"/>
              <w:rPr>
                <w:spacing w:val="1"/>
              </w:rPr>
            </w:pPr>
            <w:proofErr w:type="spellStart"/>
            <w:r>
              <w:rPr>
                <w:spacing w:val="1"/>
              </w:rPr>
              <w:t>Vbmax</w:t>
            </w:r>
            <w:proofErr w:type="spellEnd"/>
            <w:r>
              <w:rPr>
                <w:spacing w:val="1"/>
              </w:rPr>
              <w:t xml:space="preserve"> – максимальное значение по данному показателю (из числа участников, подавших заявки),</w:t>
            </w:r>
          </w:p>
          <w:p w:rsidR="00AE3057" w:rsidRDefault="00AE3057">
            <w:pPr>
              <w:ind w:right="-2"/>
            </w:pPr>
            <w:proofErr w:type="spellStart"/>
            <w:r>
              <w:rPr>
                <w:spacing w:val="1"/>
              </w:rPr>
              <w:t>Vbi</w:t>
            </w:r>
            <w:proofErr w:type="spellEnd"/>
            <w:r>
              <w:rPr>
                <w:spacing w:val="1"/>
              </w:rPr>
              <w:t xml:space="preserve"> - значение данного показателя </w:t>
            </w:r>
            <w:r>
              <w:t>i-</w:t>
            </w:r>
            <w:proofErr w:type="spellStart"/>
            <w:r>
              <w:t>го</w:t>
            </w:r>
            <w:proofErr w:type="spellEnd"/>
            <w:r>
              <w:t xml:space="preserve"> участника открытого запроса предложений,</w:t>
            </w:r>
          </w:p>
          <w:p w:rsidR="00AE3057" w:rsidRDefault="00AE3057">
            <w:pPr>
              <w:ind w:right="-2"/>
              <w:rPr>
                <w:spacing w:val="1"/>
              </w:rPr>
            </w:pPr>
            <w:proofErr w:type="spellStart"/>
            <w:r>
              <w:rPr>
                <w:spacing w:val="1"/>
              </w:rPr>
              <w:t>Kb</w:t>
            </w:r>
            <w:proofErr w:type="spellEnd"/>
            <w:r>
              <w:rPr>
                <w:spacing w:val="1"/>
              </w:rPr>
              <w:t xml:space="preserve"> - максимальное значение баллов по критерию.</w:t>
            </w:r>
          </w:p>
          <w:p w:rsidR="00AE3057" w:rsidRDefault="00AE3057">
            <w:pPr>
              <w:ind w:right="-2"/>
              <w:rPr>
                <w:b/>
                <w:bCs/>
                <w:spacing w:val="1"/>
              </w:rPr>
            </w:pPr>
          </w:p>
          <w:p w:rsidR="00AE3057" w:rsidRDefault="00AE3057">
            <w:pPr>
              <w:ind w:right="-2"/>
              <w:rPr>
                <w:spacing w:val="1"/>
              </w:rPr>
            </w:pPr>
            <w:r>
              <w:rPr>
                <w:b/>
                <w:bCs/>
                <w:spacing w:val="1"/>
              </w:rPr>
              <w:t>2.3.</w:t>
            </w:r>
            <w:r>
              <w:rPr>
                <w:spacing w:val="1"/>
              </w:rPr>
              <w:t xml:space="preserve"> Объем (в рублях) сделок с облигациями (кроме еврооблигаций), заключенных Организатором за 2009-2012 годы на ЗАО «Фондовая биржа ММВБ» в режиме основных торгов</w:t>
            </w:r>
            <w:r>
              <w:t xml:space="preserve"> и режиме переговорных сделок </w:t>
            </w:r>
            <w:r>
              <w:rPr>
                <w:spacing w:val="1"/>
              </w:rPr>
              <w:t>(</w:t>
            </w:r>
            <w:proofErr w:type="spellStart"/>
            <w:r>
              <w:rPr>
                <w:b/>
                <w:bCs/>
                <w:spacing w:val="1"/>
              </w:rPr>
              <w:t>Qci</w:t>
            </w:r>
            <w:proofErr w:type="spellEnd"/>
            <w:r>
              <w:rPr>
                <w:spacing w:val="1"/>
              </w:rPr>
              <w:t xml:space="preserve">–количество баллов, присуждаемое заявке по данному подкритерию), </w:t>
            </w:r>
            <w:r>
              <w:rPr>
                <w:spacing w:val="1"/>
              </w:rPr>
              <w:lastRenderedPageBreak/>
              <w:t xml:space="preserve">максимальное значение баллов – </w:t>
            </w:r>
            <w:r>
              <w:rPr>
                <w:b/>
                <w:bCs/>
                <w:spacing w:val="1"/>
              </w:rPr>
              <w:t>25 баллов</w:t>
            </w:r>
            <w:r>
              <w:rPr>
                <w:spacing w:val="1"/>
              </w:rPr>
              <w:t>:</w:t>
            </w:r>
          </w:p>
          <w:p w:rsidR="00AE3057" w:rsidRDefault="00AE3057">
            <w:pPr>
              <w:ind w:right="-2"/>
              <w:rPr>
                <w:spacing w:val="1"/>
              </w:rPr>
            </w:pPr>
          </w:p>
          <w:p w:rsidR="00AE3057" w:rsidRDefault="00AE3057">
            <w:pPr>
              <w:ind w:right="-2"/>
              <w:jc w:val="center"/>
              <w:rPr>
                <w:spacing w:val="1"/>
              </w:rPr>
            </w:pPr>
            <w:proofErr w:type="spellStart"/>
            <w:r>
              <w:rPr>
                <w:spacing w:val="1"/>
              </w:rPr>
              <w:t>Qci</w:t>
            </w:r>
            <w:proofErr w:type="spellEnd"/>
            <w:r>
              <w:rPr>
                <w:spacing w:val="1"/>
              </w:rPr>
              <w:t>=</w:t>
            </w:r>
            <w:proofErr w:type="spellStart"/>
            <w:r>
              <w:rPr>
                <w:spacing w:val="1"/>
              </w:rPr>
              <w:t>Vci</w:t>
            </w:r>
            <w:proofErr w:type="spellEnd"/>
            <w:r>
              <w:rPr>
                <w:spacing w:val="1"/>
              </w:rPr>
              <w:t>/</w:t>
            </w:r>
            <w:proofErr w:type="spellStart"/>
            <w:r>
              <w:rPr>
                <w:spacing w:val="1"/>
              </w:rPr>
              <w:t>Vcmax</w:t>
            </w:r>
            <w:proofErr w:type="spellEnd"/>
            <w:r>
              <w:rPr>
                <w:spacing w:val="1"/>
              </w:rPr>
              <w:t>*</w:t>
            </w:r>
            <w:proofErr w:type="spellStart"/>
            <w:r>
              <w:rPr>
                <w:spacing w:val="1"/>
              </w:rPr>
              <w:t>Kc</w:t>
            </w:r>
            <w:proofErr w:type="spellEnd"/>
            <w:r>
              <w:rPr>
                <w:spacing w:val="1"/>
              </w:rPr>
              <w:t>, где</w:t>
            </w:r>
          </w:p>
          <w:p w:rsidR="00AE3057" w:rsidRDefault="00AE3057">
            <w:pPr>
              <w:ind w:right="-2"/>
              <w:jc w:val="center"/>
              <w:rPr>
                <w:spacing w:val="1"/>
              </w:rPr>
            </w:pPr>
          </w:p>
          <w:p w:rsidR="00AE3057" w:rsidRDefault="00AE3057">
            <w:pPr>
              <w:ind w:right="-2"/>
              <w:rPr>
                <w:spacing w:val="1"/>
              </w:rPr>
            </w:pPr>
            <w:proofErr w:type="spellStart"/>
            <w:r>
              <w:rPr>
                <w:spacing w:val="1"/>
              </w:rPr>
              <w:t>Vcmax</w:t>
            </w:r>
            <w:proofErr w:type="spellEnd"/>
            <w:r>
              <w:rPr>
                <w:spacing w:val="1"/>
              </w:rPr>
              <w:t xml:space="preserve"> – максимальное значение по данному показателю (</w:t>
            </w:r>
            <w:r>
              <w:t xml:space="preserve">из  числа участников, подавших заявки), </w:t>
            </w:r>
          </w:p>
          <w:p w:rsidR="00AE3057" w:rsidRDefault="00AE3057">
            <w:pPr>
              <w:ind w:right="-2"/>
            </w:pPr>
            <w:proofErr w:type="spellStart"/>
            <w:r>
              <w:rPr>
                <w:spacing w:val="1"/>
              </w:rPr>
              <w:t>Vci</w:t>
            </w:r>
            <w:proofErr w:type="spellEnd"/>
            <w:r>
              <w:rPr>
                <w:spacing w:val="1"/>
              </w:rPr>
              <w:t xml:space="preserve"> - значение данного показателя </w:t>
            </w:r>
            <w:r>
              <w:t>i-</w:t>
            </w:r>
            <w:proofErr w:type="spellStart"/>
            <w:r>
              <w:t>го</w:t>
            </w:r>
            <w:proofErr w:type="spellEnd"/>
            <w:r>
              <w:t xml:space="preserve"> участника открытого запроса предложений, </w:t>
            </w:r>
          </w:p>
          <w:p w:rsidR="00AE3057" w:rsidRDefault="00AE3057">
            <w:pPr>
              <w:ind w:right="-2"/>
              <w:rPr>
                <w:spacing w:val="1"/>
              </w:rPr>
            </w:pPr>
            <w:proofErr w:type="spellStart"/>
            <w:r>
              <w:rPr>
                <w:spacing w:val="1"/>
              </w:rPr>
              <w:t>Kc</w:t>
            </w:r>
            <w:proofErr w:type="spellEnd"/>
            <w:r>
              <w:rPr>
                <w:spacing w:val="1"/>
              </w:rPr>
              <w:t xml:space="preserve"> - максимальное значение баллов по критерию.</w:t>
            </w:r>
          </w:p>
          <w:p w:rsidR="00AE3057" w:rsidRDefault="00AE3057">
            <w:pPr>
              <w:pStyle w:val="aa"/>
              <w:rPr>
                <w:b/>
                <w:bCs/>
                <w:spacing w:val="1"/>
                <w:sz w:val="20"/>
                <w:szCs w:val="20"/>
              </w:rPr>
            </w:pPr>
          </w:p>
          <w:p w:rsidR="00AE3057" w:rsidRDefault="00AE3057">
            <w:pPr>
              <w:ind w:right="-2"/>
              <w:rPr>
                <w:spacing w:val="1"/>
              </w:rPr>
            </w:pPr>
            <w:r>
              <w:rPr>
                <w:b/>
                <w:bCs/>
                <w:spacing w:val="1"/>
              </w:rPr>
              <w:t>2.4.</w:t>
            </w:r>
            <w:r>
              <w:rPr>
                <w:spacing w:val="1"/>
              </w:rPr>
              <w:t xml:space="preserve"> Наличие наград в номинации «Лучшая аналитика по рынку облигаций», полученных от информационного агентства ООО «</w:t>
            </w:r>
            <w:proofErr w:type="spellStart"/>
            <w:r>
              <w:rPr>
                <w:spacing w:val="1"/>
              </w:rPr>
              <w:t>Сбондс</w:t>
            </w:r>
            <w:proofErr w:type="gramStart"/>
            <w:r>
              <w:rPr>
                <w:spacing w:val="1"/>
              </w:rPr>
              <w:t>.р</w:t>
            </w:r>
            <w:proofErr w:type="gramEnd"/>
            <w:r>
              <w:rPr>
                <w:spacing w:val="1"/>
              </w:rPr>
              <w:t>у</w:t>
            </w:r>
            <w:proofErr w:type="spellEnd"/>
            <w:r>
              <w:rPr>
                <w:spacing w:val="1"/>
              </w:rPr>
              <w:t>» на российском рынке облигаций в 2009-2012 гг. (</w:t>
            </w:r>
            <w:r>
              <w:rPr>
                <w:b/>
                <w:bCs/>
                <w:spacing w:val="1"/>
              </w:rPr>
              <w:t>Q</w:t>
            </w:r>
            <w:r>
              <w:rPr>
                <w:b/>
                <w:bCs/>
                <w:spacing w:val="1"/>
                <w:lang w:val="en-US"/>
              </w:rPr>
              <w:t>d</w:t>
            </w:r>
            <w:r>
              <w:rPr>
                <w:b/>
                <w:bCs/>
                <w:spacing w:val="1"/>
              </w:rPr>
              <w:t xml:space="preserve">i </w:t>
            </w:r>
            <w:r>
              <w:rPr>
                <w:spacing w:val="1"/>
              </w:rPr>
              <w:t xml:space="preserve">–количество баллов, присуждаемое заявке по данному подкритерию), максимальное значение баллов – </w:t>
            </w:r>
            <w:r>
              <w:rPr>
                <w:b/>
                <w:bCs/>
                <w:spacing w:val="1"/>
              </w:rPr>
              <w:t>5 баллов</w:t>
            </w:r>
            <w:r>
              <w:rPr>
                <w:spacing w:val="1"/>
              </w:rPr>
              <w:t>:</w:t>
            </w:r>
          </w:p>
          <w:p w:rsidR="00AE3057" w:rsidRDefault="00AE3057">
            <w:pPr>
              <w:ind w:right="-2"/>
              <w:rPr>
                <w:spacing w:val="1"/>
              </w:rPr>
            </w:pPr>
          </w:p>
          <w:p w:rsidR="00AE3057" w:rsidRDefault="00AE3057">
            <w:pPr>
              <w:ind w:right="-2"/>
              <w:jc w:val="center"/>
              <w:rPr>
                <w:spacing w:val="1"/>
              </w:rPr>
            </w:pPr>
            <w:proofErr w:type="spellStart"/>
            <w:r>
              <w:rPr>
                <w:spacing w:val="1"/>
              </w:rPr>
              <w:t>Qdi</w:t>
            </w:r>
            <w:proofErr w:type="spellEnd"/>
            <w:r>
              <w:rPr>
                <w:spacing w:val="1"/>
              </w:rPr>
              <w:t>=</w:t>
            </w:r>
            <w:proofErr w:type="spellStart"/>
            <w:r>
              <w:rPr>
                <w:spacing w:val="1"/>
              </w:rPr>
              <w:t>Vdi</w:t>
            </w:r>
            <w:proofErr w:type="spellEnd"/>
            <w:r>
              <w:rPr>
                <w:spacing w:val="1"/>
              </w:rPr>
              <w:t>/</w:t>
            </w:r>
            <w:proofErr w:type="spellStart"/>
            <w:r>
              <w:rPr>
                <w:spacing w:val="1"/>
              </w:rPr>
              <w:t>Vdmax</w:t>
            </w:r>
            <w:proofErr w:type="spellEnd"/>
            <w:r>
              <w:rPr>
                <w:spacing w:val="1"/>
              </w:rPr>
              <w:t>*</w:t>
            </w:r>
            <w:proofErr w:type="spellStart"/>
            <w:r>
              <w:rPr>
                <w:spacing w:val="1"/>
              </w:rPr>
              <w:t>Kd</w:t>
            </w:r>
            <w:proofErr w:type="spellEnd"/>
            <w:r>
              <w:rPr>
                <w:spacing w:val="1"/>
              </w:rPr>
              <w:t>, где</w:t>
            </w:r>
          </w:p>
          <w:p w:rsidR="00AE3057" w:rsidRDefault="00AE3057">
            <w:pPr>
              <w:ind w:right="-2"/>
              <w:jc w:val="center"/>
              <w:rPr>
                <w:spacing w:val="1"/>
              </w:rPr>
            </w:pPr>
          </w:p>
          <w:p w:rsidR="00AE3057" w:rsidRDefault="00AE3057">
            <w:pPr>
              <w:ind w:right="-2"/>
              <w:rPr>
                <w:spacing w:val="1"/>
              </w:rPr>
            </w:pPr>
            <w:r>
              <w:rPr>
                <w:spacing w:val="1"/>
              </w:rPr>
              <w:t>V</w:t>
            </w:r>
            <w:r>
              <w:rPr>
                <w:spacing w:val="1"/>
                <w:lang w:val="en-US"/>
              </w:rPr>
              <w:t>d</w:t>
            </w:r>
            <w:proofErr w:type="spellStart"/>
            <w:r>
              <w:rPr>
                <w:spacing w:val="1"/>
              </w:rPr>
              <w:t>max</w:t>
            </w:r>
            <w:proofErr w:type="spellEnd"/>
            <w:r>
              <w:rPr>
                <w:spacing w:val="1"/>
              </w:rPr>
              <w:t xml:space="preserve"> – максимальное значение по данному показателю (</w:t>
            </w:r>
            <w:r>
              <w:t xml:space="preserve">из  числа участников, подавших заявки), </w:t>
            </w:r>
          </w:p>
          <w:p w:rsidR="00AE3057" w:rsidRDefault="00AE3057">
            <w:pPr>
              <w:ind w:right="-2"/>
            </w:pPr>
            <w:r>
              <w:rPr>
                <w:spacing w:val="1"/>
              </w:rPr>
              <w:t>V</w:t>
            </w:r>
            <w:r>
              <w:rPr>
                <w:spacing w:val="1"/>
                <w:lang w:val="en-US"/>
              </w:rPr>
              <w:t>d</w:t>
            </w:r>
            <w:r>
              <w:rPr>
                <w:spacing w:val="1"/>
              </w:rPr>
              <w:t xml:space="preserve">i - значение данного показателя </w:t>
            </w:r>
            <w:r>
              <w:t>i-</w:t>
            </w:r>
            <w:proofErr w:type="spellStart"/>
            <w:r>
              <w:t>го</w:t>
            </w:r>
            <w:proofErr w:type="spellEnd"/>
            <w:r>
              <w:t xml:space="preserve"> участника открытого запроса предложений, </w:t>
            </w:r>
          </w:p>
          <w:p w:rsidR="00AE3057" w:rsidRDefault="00AE3057">
            <w:pPr>
              <w:ind w:right="-2"/>
              <w:rPr>
                <w:spacing w:val="1"/>
              </w:rPr>
            </w:pPr>
            <w:r>
              <w:rPr>
                <w:spacing w:val="1"/>
              </w:rPr>
              <w:t>K</w:t>
            </w:r>
            <w:r>
              <w:rPr>
                <w:spacing w:val="1"/>
                <w:lang w:val="en-US"/>
              </w:rPr>
              <w:t>d</w:t>
            </w:r>
            <w:r>
              <w:rPr>
                <w:spacing w:val="1"/>
              </w:rPr>
              <w:t xml:space="preserve"> - максимальное значение баллов по критерию.</w:t>
            </w:r>
          </w:p>
          <w:p w:rsidR="00AE3057" w:rsidRDefault="00AE3057">
            <w:pPr>
              <w:ind w:right="-2"/>
              <w:rPr>
                <w:spacing w:val="1"/>
              </w:rPr>
            </w:pPr>
          </w:p>
          <w:p w:rsidR="00AE3057" w:rsidRDefault="00AE3057">
            <w:pPr>
              <w:ind w:right="-2"/>
              <w:rPr>
                <w:b/>
                <w:bCs/>
              </w:rPr>
            </w:pPr>
            <w:r>
              <w:rPr>
                <w:b/>
                <w:bCs/>
              </w:rPr>
              <w:t>Сумма значимости критериев 1-2 равна 100%.</w:t>
            </w:r>
          </w:p>
        </w:tc>
      </w:tr>
    </w:tbl>
    <w:p w:rsidR="00AE3057" w:rsidRDefault="00AE3057">
      <w:pPr>
        <w:rPr>
          <w:b/>
          <w:bCs/>
        </w:rPr>
      </w:pPr>
    </w:p>
    <w:p w:rsidR="00AE3057" w:rsidRDefault="00AE3057">
      <w:pPr>
        <w:spacing w:before="120"/>
        <w:jc w:val="both"/>
        <w:rPr>
          <w:b/>
          <w:bCs/>
        </w:rPr>
      </w:pPr>
      <w:r>
        <w:rPr>
          <w:b/>
          <w:bCs/>
        </w:rPr>
        <w:t>1. Порядок рассмотрения, оценки и сопоставления заявок на участие в открытом запросе предложений.</w:t>
      </w:r>
    </w:p>
    <w:p w:rsidR="00AE3057" w:rsidRDefault="00AE3057">
      <w:pPr>
        <w:spacing w:before="120"/>
        <w:jc w:val="both"/>
        <w:rPr>
          <w:b/>
          <w:bCs/>
        </w:rPr>
      </w:pPr>
    </w:p>
    <w:p w:rsidR="00AE3057" w:rsidRDefault="00AE3057">
      <w:pPr>
        <w:jc w:val="both"/>
      </w:pPr>
      <w:r>
        <w:t>При оценке заявок на участие в открытом запросе предложений определяется количество баллов по каждому критерию и (или) показателю. Дробное значение количества баллов округляется до двух десятичных знаков после запятой по математическим правилам округления.</w:t>
      </w:r>
    </w:p>
    <w:p w:rsidR="00AE3057" w:rsidRDefault="00AE3057">
      <w:pPr>
        <w:jc w:val="both"/>
      </w:pPr>
    </w:p>
    <w:p w:rsidR="00AE3057" w:rsidRDefault="00AE3057">
      <w:pPr>
        <w:jc w:val="both"/>
      </w:pPr>
      <w:r>
        <w:t>1) Количество баллов, присуждаемое заявке на участие в открытом запросе предложений по критерию «</w:t>
      </w:r>
      <w:r>
        <w:rPr>
          <w:b/>
          <w:bCs/>
        </w:rPr>
        <w:t>Цена Договора</w:t>
      </w:r>
      <w:r>
        <w:t>», определяется по формуле:</w:t>
      </w:r>
    </w:p>
    <w:p w:rsidR="00AE3057" w:rsidRDefault="00AE3057">
      <w:pPr>
        <w:jc w:val="center"/>
      </w:pPr>
      <w:r>
        <w:rPr>
          <w:position w:val="-38"/>
        </w:rPr>
        <w:object w:dxaOrig="2780" w:dyaOrig="1020">
          <v:shape id="_x0000_i1027" type="#_x0000_t75" style="width:136.5pt;height:42.55pt" o:ole="" fillcolor="window">
            <v:imagedata r:id="rId10" o:title=""/>
          </v:shape>
          <o:OLEObject Type="Embed" ProgID="Equation.3" ShapeID="_x0000_i1027" DrawAspect="Content" ObjectID="_1420025938" r:id="rId11"/>
        </w:object>
      </w:r>
      <w:r>
        <w:t>,</w:t>
      </w:r>
    </w:p>
    <w:p w:rsidR="00AE3057" w:rsidRDefault="00AE3057">
      <w:pPr>
        <w:jc w:val="both"/>
      </w:pPr>
      <w:r>
        <w:t>где:</w:t>
      </w:r>
    </w:p>
    <w:p w:rsidR="00AE3057" w:rsidRDefault="00F31D74">
      <w:pPr>
        <w:jc w:val="both"/>
      </w:pPr>
      <w:r>
        <w:rPr>
          <w:noProof/>
        </w:rPr>
        <w:drawing>
          <wp:inline distT="0" distB="0" distL="0" distR="0">
            <wp:extent cx="198755" cy="222885"/>
            <wp:effectExtent l="0" t="0" r="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755" cy="222885"/>
                    </a:xfrm>
                    <a:prstGeom prst="rect">
                      <a:avLst/>
                    </a:prstGeom>
                    <a:solidFill>
                      <a:srgbClr val="FFFFFF"/>
                    </a:solidFill>
                    <a:ln>
                      <a:noFill/>
                    </a:ln>
                  </pic:spPr>
                </pic:pic>
              </a:graphicData>
            </a:graphic>
          </wp:inline>
        </w:drawing>
      </w:r>
      <w:r w:rsidR="00AE3057">
        <w:t> - количество баллов, присуждаемое i-й заявке на участие в открытом запросе предложений;</w:t>
      </w:r>
    </w:p>
    <w:p w:rsidR="00AE3057" w:rsidRDefault="00F31D74">
      <w:pPr>
        <w:keepNext/>
        <w:jc w:val="both"/>
        <w:outlineLvl w:val="0"/>
      </w:pPr>
      <w:r>
        <w:rPr>
          <w:noProof/>
        </w:rPr>
        <w:drawing>
          <wp:inline distT="0" distB="0" distL="0" distR="0">
            <wp:extent cx="302260" cy="222885"/>
            <wp:effectExtent l="0" t="0" r="254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260" cy="222885"/>
                    </a:xfrm>
                    <a:prstGeom prst="rect">
                      <a:avLst/>
                    </a:prstGeom>
                    <a:solidFill>
                      <a:srgbClr val="FFFFFF"/>
                    </a:solidFill>
                    <a:ln>
                      <a:noFill/>
                    </a:ln>
                  </pic:spPr>
                </pic:pic>
              </a:graphicData>
            </a:graphic>
          </wp:inline>
        </w:drawing>
      </w:r>
      <w:r w:rsidR="00AE3057">
        <w:t> -  начальная (максимальная) цена контракта, установленная в документации к открытому запросу предложений;</w:t>
      </w:r>
    </w:p>
    <w:p w:rsidR="00AE3057" w:rsidRDefault="00AE3057">
      <w:pPr>
        <w:jc w:val="both"/>
      </w:pPr>
      <w:proofErr w:type="spellStart"/>
      <w:r>
        <w:t>A</w:t>
      </w:r>
      <w:proofErr w:type="gramStart"/>
      <w:r>
        <w:t>б</w:t>
      </w:r>
      <w:proofErr w:type="gramEnd"/>
      <w:r>
        <w:t>i</w:t>
      </w:r>
      <w:proofErr w:type="spellEnd"/>
      <w:r>
        <w:t xml:space="preserve"> - предложение i-</w:t>
      </w:r>
      <w:proofErr w:type="spellStart"/>
      <w:r>
        <w:t>го</w:t>
      </w:r>
      <w:proofErr w:type="spellEnd"/>
      <w:r>
        <w:t xml:space="preserve"> участника открытого запроса предложений по базовому вознаграждению.</w:t>
      </w:r>
    </w:p>
    <w:p w:rsidR="00AE3057" w:rsidRDefault="00AE3057">
      <w:pPr>
        <w:jc w:val="both"/>
      </w:pPr>
    </w:p>
    <w:p w:rsidR="00AE3057" w:rsidRDefault="00AE3057">
      <w:pPr>
        <w:jc w:val="both"/>
      </w:pPr>
      <w:r>
        <w:t>Для расчета итогового количества баллов по заявке количество баллов, присуждаемое этой заявке по критерию "Цена Договора", умножается на соответствующую указанному критерию значимость.</w:t>
      </w:r>
    </w:p>
    <w:p w:rsidR="00AE3057" w:rsidRDefault="00AE3057">
      <w:pPr>
        <w:jc w:val="both"/>
      </w:pPr>
    </w:p>
    <w:p w:rsidR="00AE3057" w:rsidRDefault="00AE3057">
      <w:pPr>
        <w:jc w:val="both"/>
      </w:pPr>
      <w:r>
        <w:t>2) Количество баллов, присуждаемое i-й заявке по критерию "</w:t>
      </w:r>
      <w:r>
        <w:rPr>
          <w:b/>
          <w:bCs/>
        </w:rPr>
        <w:t>Качество оказания услуг и квалификация участника",</w:t>
      </w:r>
      <w:r>
        <w:t xml:space="preserve"> определяется по формуле:</w:t>
      </w:r>
    </w:p>
    <w:p w:rsidR="00AE3057" w:rsidRDefault="00AE3057">
      <w:pPr>
        <w:jc w:val="both"/>
      </w:pPr>
    </w:p>
    <w:p w:rsidR="00AE3057" w:rsidRDefault="00AE3057">
      <w:pPr>
        <w:jc w:val="both"/>
        <w:rPr>
          <w:lang w:val="en-US"/>
        </w:rPr>
      </w:pPr>
      <w:r>
        <w:rPr>
          <w:lang w:val="en-US"/>
        </w:rPr>
        <w:t>R</w:t>
      </w:r>
      <w:r>
        <w:t>с</w:t>
      </w:r>
      <w:proofErr w:type="spellStart"/>
      <w:r>
        <w:rPr>
          <w:lang w:val="en-US"/>
        </w:rPr>
        <w:t>i</w:t>
      </w:r>
      <w:proofErr w:type="spellEnd"/>
      <w:r>
        <w:rPr>
          <w:lang w:val="en-US"/>
        </w:rPr>
        <w:t xml:space="preserve"> = </w:t>
      </w:r>
      <w:proofErr w:type="spellStart"/>
      <w:r>
        <w:rPr>
          <w:spacing w:val="1"/>
          <w:lang w:val="en-US"/>
        </w:rPr>
        <w:t>Qai</w:t>
      </w:r>
      <w:proofErr w:type="spellEnd"/>
      <w:r>
        <w:rPr>
          <w:spacing w:val="1"/>
          <w:lang w:val="en-US"/>
        </w:rPr>
        <w:t xml:space="preserve"> + </w:t>
      </w:r>
      <w:proofErr w:type="spellStart"/>
      <w:r>
        <w:rPr>
          <w:spacing w:val="1"/>
          <w:lang w:val="en-US"/>
        </w:rPr>
        <w:t>Qbi</w:t>
      </w:r>
      <w:proofErr w:type="spellEnd"/>
      <w:r>
        <w:rPr>
          <w:spacing w:val="1"/>
          <w:lang w:val="en-US"/>
        </w:rPr>
        <w:t xml:space="preserve"> + </w:t>
      </w:r>
      <w:proofErr w:type="spellStart"/>
      <w:r>
        <w:rPr>
          <w:spacing w:val="1"/>
          <w:lang w:val="en-US"/>
        </w:rPr>
        <w:t>Qci</w:t>
      </w:r>
      <w:proofErr w:type="spellEnd"/>
      <w:r>
        <w:rPr>
          <w:spacing w:val="1"/>
          <w:lang w:val="en-US"/>
        </w:rPr>
        <w:t xml:space="preserve">+ </w:t>
      </w:r>
      <w:proofErr w:type="spellStart"/>
      <w:r>
        <w:rPr>
          <w:spacing w:val="1"/>
          <w:lang w:val="en-US"/>
        </w:rPr>
        <w:t>Qdi</w:t>
      </w:r>
      <w:proofErr w:type="spellEnd"/>
      <w:r>
        <w:rPr>
          <w:lang w:val="en-US"/>
        </w:rPr>
        <w:t>,</w:t>
      </w:r>
    </w:p>
    <w:p w:rsidR="00AE3057" w:rsidRDefault="00AE3057">
      <w:pPr>
        <w:jc w:val="both"/>
        <w:rPr>
          <w:lang w:val="en-US"/>
        </w:rPr>
      </w:pPr>
    </w:p>
    <w:p w:rsidR="00AE3057" w:rsidRDefault="00AE3057">
      <w:pPr>
        <w:jc w:val="both"/>
      </w:pPr>
      <w:r>
        <w:t>где:</w:t>
      </w:r>
    </w:p>
    <w:p w:rsidR="00AE3057" w:rsidRDefault="00AE3057">
      <w:pPr>
        <w:jc w:val="both"/>
      </w:pPr>
      <w:r>
        <w:rPr>
          <w:position w:val="-18"/>
        </w:rPr>
        <w:object w:dxaOrig="460" w:dyaOrig="420">
          <v:shape id="_x0000_i1028" type="#_x0000_t75" style="width:23.15pt;height:15.65pt" o:ole="" fillcolor="window">
            <v:imagedata r:id="rId14" o:title=""/>
          </v:shape>
          <o:OLEObject Type="Embed" ProgID="Equation.3" ShapeID="_x0000_i1028" DrawAspect="Content" ObjectID="_1420025939" r:id="rId15"/>
        </w:object>
      </w:r>
      <w:r>
        <w:t> - количество баллов, присуждаемое i-й заявке по указанному критерию;</w:t>
      </w:r>
    </w:p>
    <w:p w:rsidR="00AE3057" w:rsidRDefault="00AE3057">
      <w:pPr>
        <w:jc w:val="both"/>
        <w:rPr>
          <w:spacing w:val="1"/>
        </w:rPr>
      </w:pPr>
      <w:proofErr w:type="spellStart"/>
      <w:r>
        <w:rPr>
          <w:spacing w:val="1"/>
        </w:rPr>
        <w:t>Qai</w:t>
      </w:r>
      <w:proofErr w:type="spellEnd"/>
      <w:r>
        <w:t xml:space="preserve"> - значение в баллах, присуждаемое комиссией i-й заявке на участие в открытом запросе предложений по подкритерию «</w:t>
      </w:r>
      <w:r>
        <w:rPr>
          <w:spacing w:val="1"/>
        </w:rPr>
        <w:t>Суммарный объем размещенных выпусков облигаций» в соответствии с данными информационного агентства ООО "</w:t>
      </w:r>
      <w:proofErr w:type="spellStart"/>
      <w:r>
        <w:rPr>
          <w:spacing w:val="1"/>
        </w:rPr>
        <w:t>Сбондс</w:t>
      </w:r>
      <w:proofErr w:type="gramStart"/>
      <w:r>
        <w:rPr>
          <w:spacing w:val="1"/>
        </w:rPr>
        <w:t>.р</w:t>
      </w:r>
      <w:proofErr w:type="gramEnd"/>
      <w:r>
        <w:rPr>
          <w:spacing w:val="1"/>
        </w:rPr>
        <w:t>у</w:t>
      </w:r>
      <w:proofErr w:type="spellEnd"/>
      <w:r>
        <w:rPr>
          <w:spacing w:val="1"/>
        </w:rPr>
        <w:t xml:space="preserve">" по итогам 2012 года </w:t>
      </w:r>
      <w:r>
        <w:rPr>
          <w:spacing w:val="1"/>
        </w:rPr>
        <w:lastRenderedPageBreak/>
        <w:t>(</w:t>
      </w:r>
      <w:proofErr w:type="spellStart"/>
      <w:r>
        <w:rPr>
          <w:spacing w:val="1"/>
        </w:rPr>
        <w:t>Рэнкинг</w:t>
      </w:r>
      <w:proofErr w:type="spellEnd"/>
      <w:r>
        <w:rPr>
          <w:spacing w:val="1"/>
        </w:rPr>
        <w:t xml:space="preserve"> организаторов (корпоративный сектор))»;</w:t>
      </w:r>
    </w:p>
    <w:p w:rsidR="00AE3057" w:rsidRDefault="00AE3057">
      <w:pPr>
        <w:jc w:val="both"/>
      </w:pPr>
    </w:p>
    <w:p w:rsidR="00AE3057" w:rsidRDefault="00AE3057">
      <w:pPr>
        <w:jc w:val="both"/>
        <w:rPr>
          <w:spacing w:val="1"/>
        </w:rPr>
      </w:pPr>
      <w:proofErr w:type="spellStart"/>
      <w:r>
        <w:rPr>
          <w:spacing w:val="1"/>
        </w:rPr>
        <w:t>Qbi</w:t>
      </w:r>
      <w:proofErr w:type="spellEnd"/>
      <w:r>
        <w:t xml:space="preserve"> - значение в баллах, присуждаемое комиссией i-й заявке на участие в открытом запросе предложений по подкритерию «</w:t>
      </w:r>
      <w:r>
        <w:rPr>
          <w:spacing w:val="1"/>
        </w:rPr>
        <w:t>Количество выпусков рублевых облигаций эмитентов электроэнергетической отрасли» (не включает атомную энергетику) в 2009-2012 годах (в роли Организатора)»</w:t>
      </w:r>
    </w:p>
    <w:p w:rsidR="00AE3057" w:rsidRDefault="00AE3057">
      <w:pPr>
        <w:jc w:val="both"/>
      </w:pPr>
    </w:p>
    <w:p w:rsidR="00AE3057" w:rsidRDefault="00AE3057">
      <w:pPr>
        <w:jc w:val="both"/>
      </w:pPr>
      <w:proofErr w:type="spellStart"/>
      <w:r>
        <w:rPr>
          <w:spacing w:val="1"/>
        </w:rPr>
        <w:t>Qci</w:t>
      </w:r>
      <w:proofErr w:type="spellEnd"/>
      <w:r>
        <w:t xml:space="preserve"> - значение в баллах, присуждаемое комиссией i-й заявке на участие в открытом запросе предложений по подкритерию «</w:t>
      </w:r>
      <w:r>
        <w:rPr>
          <w:spacing w:val="1"/>
        </w:rPr>
        <w:t>Объем (рублей) сделок с облигациями (кроме еврооблигаций)», заключенных Организатором за 2009-2012 годы на ЗАО «Фондовая биржа ММВБ» в режиме основных торгов</w:t>
      </w:r>
      <w:r>
        <w:t xml:space="preserve"> и режиме переговорных сделок</w:t>
      </w:r>
      <w:r>
        <w:rPr>
          <w:spacing w:val="1"/>
        </w:rPr>
        <w:t>»</w:t>
      </w:r>
      <w:r>
        <w:t>.</w:t>
      </w:r>
    </w:p>
    <w:p w:rsidR="00AE3057" w:rsidRDefault="00AE3057">
      <w:pPr>
        <w:jc w:val="both"/>
      </w:pPr>
    </w:p>
    <w:p w:rsidR="00AE3057" w:rsidRDefault="00AE3057">
      <w:pPr>
        <w:jc w:val="both"/>
      </w:pPr>
      <w:r>
        <w:rPr>
          <w:spacing w:val="1"/>
        </w:rPr>
        <w:t>Q</w:t>
      </w:r>
      <w:r>
        <w:rPr>
          <w:spacing w:val="1"/>
          <w:lang w:val="en-US"/>
        </w:rPr>
        <w:t>d</w:t>
      </w:r>
      <w:r>
        <w:rPr>
          <w:spacing w:val="1"/>
        </w:rPr>
        <w:t>i</w:t>
      </w:r>
      <w:r>
        <w:t xml:space="preserve"> - значение в баллах, присуждаемое комиссией i-й заявке на участие в открытом запросе предложений по подкритерию «</w:t>
      </w:r>
      <w:r>
        <w:rPr>
          <w:spacing w:val="1"/>
        </w:rPr>
        <w:t>Наличие наград в номинации «Лучшая аналитика по рынку облигаций», полученных от информационного агентства ООО «</w:t>
      </w:r>
      <w:proofErr w:type="spellStart"/>
      <w:r>
        <w:rPr>
          <w:spacing w:val="1"/>
        </w:rPr>
        <w:t>Сбондс</w:t>
      </w:r>
      <w:proofErr w:type="gramStart"/>
      <w:r>
        <w:rPr>
          <w:spacing w:val="1"/>
        </w:rPr>
        <w:t>.р</w:t>
      </w:r>
      <w:proofErr w:type="gramEnd"/>
      <w:r>
        <w:rPr>
          <w:spacing w:val="1"/>
        </w:rPr>
        <w:t>у</w:t>
      </w:r>
      <w:proofErr w:type="spellEnd"/>
      <w:r>
        <w:rPr>
          <w:spacing w:val="1"/>
        </w:rPr>
        <w:t>» на российском рынке облигаций в 2009-2012 гг.»</w:t>
      </w:r>
      <w:r>
        <w:t>.</w:t>
      </w:r>
    </w:p>
    <w:p w:rsidR="00AE3057" w:rsidRDefault="00AE3057">
      <w:pPr>
        <w:jc w:val="both"/>
      </w:pPr>
    </w:p>
    <w:p w:rsidR="00AE3057" w:rsidRDefault="00AE3057">
      <w:pPr>
        <w:pStyle w:val="22"/>
      </w:pPr>
      <w:r>
        <w:t>В случае</w:t>
      </w:r>
      <w:proofErr w:type="gramStart"/>
      <w:r>
        <w:t>,</w:t>
      </w:r>
      <w:proofErr w:type="gramEnd"/>
      <w:r>
        <w:t xml:space="preserve"> если заявка подается коллективным участником, то при оценке баллов по показателям критерия «Качество оказания услуг и квалификация Участника» данные по коллективному участнику определяются путем простого сложения показателей каждого из юридических лиц, составляющих коллективного участника.</w:t>
      </w:r>
    </w:p>
    <w:p w:rsidR="00AE3057" w:rsidRDefault="00AE3057">
      <w:pPr>
        <w:jc w:val="both"/>
      </w:pPr>
    </w:p>
    <w:p w:rsidR="00AE3057" w:rsidRDefault="00AE3057">
      <w:pPr>
        <w:jc w:val="both"/>
      </w:pPr>
    </w:p>
    <w:p w:rsidR="00AE3057" w:rsidRDefault="00AE3057">
      <w:pPr>
        <w:jc w:val="both"/>
      </w:pPr>
      <w:r>
        <w:t>Для получения итогового количества баллов по заявке количество баллов, присуждаемое этой заявке по критерию «Качество оказания услуг и квалификация участника», умножается на соответствующую указанному критерию значимость.</w:t>
      </w:r>
    </w:p>
    <w:p w:rsidR="00AE3057" w:rsidRDefault="00AE3057">
      <w:pPr>
        <w:jc w:val="both"/>
      </w:pPr>
    </w:p>
    <w:p w:rsidR="00AE3057" w:rsidRDefault="00AE3057">
      <w:pPr>
        <w:pStyle w:val="aa"/>
        <w:jc w:val="both"/>
        <w:rPr>
          <w:sz w:val="20"/>
          <w:szCs w:val="20"/>
        </w:rPr>
      </w:pPr>
      <w:r>
        <w:rPr>
          <w:sz w:val="20"/>
          <w:szCs w:val="20"/>
        </w:rPr>
        <w:t>3) Для оценки заявки осуществляется расчет итогового количества баллов по каждой заявке. Итоговое количество баллов заявки рассчитывается путем сложения количества баллов по каждому критерию оценки заявки на участие в открытом запросе предложений.</w:t>
      </w:r>
    </w:p>
    <w:p w:rsidR="00AE3057" w:rsidRDefault="00AE3057">
      <w:pPr>
        <w:jc w:val="both"/>
      </w:pPr>
    </w:p>
    <w:p w:rsidR="00AE3057" w:rsidRDefault="00AE3057">
      <w:pPr>
        <w:keepNext/>
        <w:jc w:val="both"/>
      </w:pPr>
      <w:r>
        <w:t>4) По результатам расчета итогового количества баллов для каждой заявки им присуждаются порядковые номера. Заявке, набравшей наибольшее итоговое количество баллов, присваивается первый номер. Последующие номера присваиваются заявкам по мере уменьшения их итогового количества баллов. При равных итоговых количествах баллов нескольких заявок меньший номер присваивается заявке, которая была подана участником открытого запроса предложений раньше других. Победителем открытого запроса предложений признается участник, заявке которого присвоен первый порядковый номер.</w:t>
      </w:r>
    </w:p>
    <w:p w:rsidR="00AE3057" w:rsidRDefault="00AE3057">
      <w:pPr>
        <w:jc w:val="both"/>
      </w:pPr>
    </w:p>
    <w:p w:rsidR="00AE3057" w:rsidRDefault="00AE3057">
      <w:pPr>
        <w:ind w:left="1077"/>
        <w:jc w:val="both"/>
      </w:pPr>
    </w:p>
    <w:sectPr w:rsidR="00AE3057" w:rsidSect="00AE30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62B4"/>
    <w:multiLevelType w:val="hybridMultilevel"/>
    <w:tmpl w:val="E6DC3648"/>
    <w:lvl w:ilvl="0" w:tplc="C44C412E">
      <w:start w:val="3"/>
      <w:numFmt w:val="decimal"/>
      <w:lvlText w:val="%1."/>
      <w:lvlJc w:val="left"/>
      <w:pPr>
        <w:ind w:left="1380" w:hanging="360"/>
      </w:pPr>
      <w:rPr>
        <w:rFonts w:ascii="Times New Roman" w:hAnsi="Times New Roman" w:cs="Times New Roman" w:hint="default"/>
      </w:rPr>
    </w:lvl>
    <w:lvl w:ilvl="1" w:tplc="04190019">
      <w:start w:val="1"/>
      <w:numFmt w:val="lowerLetter"/>
      <w:lvlText w:val="%2."/>
      <w:lvlJc w:val="left"/>
      <w:pPr>
        <w:ind w:left="2100" w:hanging="360"/>
      </w:pPr>
      <w:rPr>
        <w:rFonts w:ascii="Times New Roman" w:hAnsi="Times New Roman" w:cs="Times New Roman"/>
      </w:rPr>
    </w:lvl>
    <w:lvl w:ilvl="2" w:tplc="0419001B">
      <w:start w:val="1"/>
      <w:numFmt w:val="lowerRoman"/>
      <w:lvlText w:val="%3."/>
      <w:lvlJc w:val="right"/>
      <w:pPr>
        <w:ind w:left="2820" w:hanging="180"/>
      </w:pPr>
      <w:rPr>
        <w:rFonts w:ascii="Times New Roman" w:hAnsi="Times New Roman" w:cs="Times New Roman"/>
      </w:rPr>
    </w:lvl>
    <w:lvl w:ilvl="3" w:tplc="0419000F">
      <w:start w:val="1"/>
      <w:numFmt w:val="decimal"/>
      <w:lvlText w:val="%4."/>
      <w:lvlJc w:val="left"/>
      <w:pPr>
        <w:ind w:left="3540" w:hanging="360"/>
      </w:pPr>
      <w:rPr>
        <w:rFonts w:ascii="Times New Roman" w:hAnsi="Times New Roman" w:cs="Times New Roman"/>
      </w:rPr>
    </w:lvl>
    <w:lvl w:ilvl="4" w:tplc="04190019">
      <w:start w:val="1"/>
      <w:numFmt w:val="lowerLetter"/>
      <w:lvlText w:val="%5."/>
      <w:lvlJc w:val="left"/>
      <w:pPr>
        <w:ind w:left="4260" w:hanging="360"/>
      </w:pPr>
      <w:rPr>
        <w:rFonts w:ascii="Times New Roman" w:hAnsi="Times New Roman" w:cs="Times New Roman"/>
      </w:rPr>
    </w:lvl>
    <w:lvl w:ilvl="5" w:tplc="0419001B">
      <w:start w:val="1"/>
      <w:numFmt w:val="lowerRoman"/>
      <w:lvlText w:val="%6."/>
      <w:lvlJc w:val="right"/>
      <w:pPr>
        <w:ind w:left="4980" w:hanging="180"/>
      </w:pPr>
      <w:rPr>
        <w:rFonts w:ascii="Times New Roman" w:hAnsi="Times New Roman" w:cs="Times New Roman"/>
      </w:rPr>
    </w:lvl>
    <w:lvl w:ilvl="6" w:tplc="0419000F">
      <w:start w:val="1"/>
      <w:numFmt w:val="decimal"/>
      <w:lvlText w:val="%7."/>
      <w:lvlJc w:val="left"/>
      <w:pPr>
        <w:ind w:left="5700" w:hanging="360"/>
      </w:pPr>
      <w:rPr>
        <w:rFonts w:ascii="Times New Roman" w:hAnsi="Times New Roman" w:cs="Times New Roman"/>
      </w:rPr>
    </w:lvl>
    <w:lvl w:ilvl="7" w:tplc="04190019">
      <w:start w:val="1"/>
      <w:numFmt w:val="lowerLetter"/>
      <w:lvlText w:val="%8."/>
      <w:lvlJc w:val="left"/>
      <w:pPr>
        <w:ind w:left="6420" w:hanging="360"/>
      </w:pPr>
      <w:rPr>
        <w:rFonts w:ascii="Times New Roman" w:hAnsi="Times New Roman" w:cs="Times New Roman"/>
      </w:rPr>
    </w:lvl>
    <w:lvl w:ilvl="8" w:tplc="0419001B">
      <w:start w:val="1"/>
      <w:numFmt w:val="lowerRoman"/>
      <w:lvlText w:val="%9."/>
      <w:lvlJc w:val="right"/>
      <w:pPr>
        <w:ind w:left="7140" w:hanging="180"/>
      </w:pPr>
      <w:rPr>
        <w:rFonts w:ascii="Times New Roman" w:hAnsi="Times New Roman" w:cs="Times New Roman"/>
      </w:rPr>
    </w:lvl>
  </w:abstractNum>
  <w:abstractNum w:abstractNumId="1">
    <w:nsid w:val="067A1ED8"/>
    <w:multiLevelType w:val="hybridMultilevel"/>
    <w:tmpl w:val="020CFBE2"/>
    <w:lvl w:ilvl="0" w:tplc="04190017">
      <w:start w:val="1"/>
      <w:numFmt w:val="lowerLetter"/>
      <w:lvlText w:val="%1)"/>
      <w:lvlJc w:val="left"/>
      <w:pPr>
        <w:tabs>
          <w:tab w:val="num" w:pos="1788"/>
        </w:tabs>
        <w:ind w:left="1788" w:hanging="360"/>
      </w:pPr>
      <w:rPr>
        <w:rFonts w:ascii="Times New Roman" w:hAnsi="Times New Roman" w:cs="Times New Roman"/>
      </w:rPr>
    </w:lvl>
    <w:lvl w:ilvl="1" w:tplc="A7C82432">
      <w:start w:val="1"/>
      <w:numFmt w:val="decimal"/>
      <w:lvlText w:val="%2."/>
      <w:lvlJc w:val="left"/>
      <w:pPr>
        <w:ind w:left="2508" w:hanging="360"/>
      </w:pPr>
      <w:rPr>
        <w:rFonts w:ascii="Times New Roman" w:hAnsi="Times New Roman" w:cs="Times New Roman" w:hint="default"/>
      </w:rPr>
    </w:lvl>
    <w:lvl w:ilvl="2" w:tplc="0419001B">
      <w:start w:val="1"/>
      <w:numFmt w:val="lowerRoman"/>
      <w:lvlText w:val="%3."/>
      <w:lvlJc w:val="right"/>
      <w:pPr>
        <w:tabs>
          <w:tab w:val="num" w:pos="3228"/>
        </w:tabs>
        <w:ind w:left="3228" w:hanging="180"/>
      </w:pPr>
      <w:rPr>
        <w:rFonts w:ascii="Times New Roman" w:hAnsi="Times New Roman" w:cs="Times New Roman"/>
      </w:rPr>
    </w:lvl>
    <w:lvl w:ilvl="3" w:tplc="0419000F">
      <w:start w:val="1"/>
      <w:numFmt w:val="decimal"/>
      <w:lvlText w:val="%4."/>
      <w:lvlJc w:val="left"/>
      <w:pPr>
        <w:tabs>
          <w:tab w:val="num" w:pos="3948"/>
        </w:tabs>
        <w:ind w:left="3948" w:hanging="360"/>
      </w:pPr>
      <w:rPr>
        <w:rFonts w:ascii="Times New Roman" w:hAnsi="Times New Roman" w:cs="Times New Roman"/>
      </w:rPr>
    </w:lvl>
    <w:lvl w:ilvl="4" w:tplc="04190019">
      <w:start w:val="1"/>
      <w:numFmt w:val="lowerLetter"/>
      <w:lvlText w:val="%5."/>
      <w:lvlJc w:val="left"/>
      <w:pPr>
        <w:tabs>
          <w:tab w:val="num" w:pos="4668"/>
        </w:tabs>
        <w:ind w:left="4668" w:hanging="360"/>
      </w:pPr>
      <w:rPr>
        <w:rFonts w:ascii="Times New Roman" w:hAnsi="Times New Roman" w:cs="Times New Roman"/>
      </w:rPr>
    </w:lvl>
    <w:lvl w:ilvl="5" w:tplc="0419001B">
      <w:start w:val="1"/>
      <w:numFmt w:val="lowerRoman"/>
      <w:lvlText w:val="%6."/>
      <w:lvlJc w:val="right"/>
      <w:pPr>
        <w:tabs>
          <w:tab w:val="num" w:pos="5388"/>
        </w:tabs>
        <w:ind w:left="5388" w:hanging="180"/>
      </w:pPr>
      <w:rPr>
        <w:rFonts w:ascii="Times New Roman" w:hAnsi="Times New Roman" w:cs="Times New Roman"/>
      </w:rPr>
    </w:lvl>
    <w:lvl w:ilvl="6" w:tplc="0419000F">
      <w:start w:val="1"/>
      <w:numFmt w:val="decimal"/>
      <w:lvlText w:val="%7."/>
      <w:lvlJc w:val="left"/>
      <w:pPr>
        <w:tabs>
          <w:tab w:val="num" w:pos="6108"/>
        </w:tabs>
        <w:ind w:left="6108" w:hanging="360"/>
      </w:pPr>
      <w:rPr>
        <w:rFonts w:ascii="Times New Roman" w:hAnsi="Times New Roman" w:cs="Times New Roman"/>
      </w:rPr>
    </w:lvl>
    <w:lvl w:ilvl="7" w:tplc="04190019">
      <w:start w:val="1"/>
      <w:numFmt w:val="lowerLetter"/>
      <w:lvlText w:val="%8."/>
      <w:lvlJc w:val="left"/>
      <w:pPr>
        <w:tabs>
          <w:tab w:val="num" w:pos="6828"/>
        </w:tabs>
        <w:ind w:left="6828" w:hanging="360"/>
      </w:pPr>
      <w:rPr>
        <w:rFonts w:ascii="Times New Roman" w:hAnsi="Times New Roman" w:cs="Times New Roman"/>
      </w:rPr>
    </w:lvl>
    <w:lvl w:ilvl="8" w:tplc="0419001B">
      <w:start w:val="1"/>
      <w:numFmt w:val="lowerRoman"/>
      <w:lvlText w:val="%9."/>
      <w:lvlJc w:val="right"/>
      <w:pPr>
        <w:tabs>
          <w:tab w:val="num" w:pos="7548"/>
        </w:tabs>
        <w:ind w:left="7548" w:hanging="180"/>
      </w:pPr>
      <w:rPr>
        <w:rFonts w:ascii="Times New Roman" w:hAnsi="Times New Roman" w:cs="Times New Roman"/>
      </w:rPr>
    </w:lvl>
  </w:abstractNum>
  <w:abstractNum w:abstractNumId="2">
    <w:nsid w:val="07310F74"/>
    <w:multiLevelType w:val="hybridMultilevel"/>
    <w:tmpl w:val="7660C766"/>
    <w:lvl w:ilvl="0" w:tplc="80C8138E">
      <w:start w:val="3"/>
      <w:numFmt w:val="decimal"/>
      <w:lvlText w:val="%1."/>
      <w:lvlJc w:val="left"/>
      <w:pPr>
        <w:ind w:left="1020" w:hanging="360"/>
      </w:pPr>
      <w:rPr>
        <w:rFonts w:ascii="Times New Roman" w:hAnsi="Times New Roman" w:cs="Times New Roman" w:hint="default"/>
        <w:b w:val="0"/>
        <w:bCs w:val="0"/>
      </w:rPr>
    </w:lvl>
    <w:lvl w:ilvl="1" w:tplc="04190019">
      <w:start w:val="1"/>
      <w:numFmt w:val="lowerLetter"/>
      <w:lvlText w:val="%2."/>
      <w:lvlJc w:val="left"/>
      <w:pPr>
        <w:ind w:left="1740" w:hanging="360"/>
      </w:pPr>
      <w:rPr>
        <w:rFonts w:ascii="Times New Roman" w:hAnsi="Times New Roman" w:cs="Times New Roman"/>
      </w:rPr>
    </w:lvl>
    <w:lvl w:ilvl="2" w:tplc="0419001B">
      <w:start w:val="1"/>
      <w:numFmt w:val="lowerRoman"/>
      <w:lvlText w:val="%3."/>
      <w:lvlJc w:val="right"/>
      <w:pPr>
        <w:ind w:left="2460" w:hanging="180"/>
      </w:pPr>
      <w:rPr>
        <w:rFonts w:ascii="Times New Roman" w:hAnsi="Times New Roman" w:cs="Times New Roman"/>
      </w:rPr>
    </w:lvl>
    <w:lvl w:ilvl="3" w:tplc="0419000F">
      <w:start w:val="1"/>
      <w:numFmt w:val="decimal"/>
      <w:lvlText w:val="%4."/>
      <w:lvlJc w:val="left"/>
      <w:pPr>
        <w:ind w:left="3180" w:hanging="360"/>
      </w:pPr>
      <w:rPr>
        <w:rFonts w:ascii="Times New Roman" w:hAnsi="Times New Roman" w:cs="Times New Roman"/>
      </w:rPr>
    </w:lvl>
    <w:lvl w:ilvl="4" w:tplc="04190019">
      <w:start w:val="1"/>
      <w:numFmt w:val="lowerLetter"/>
      <w:lvlText w:val="%5."/>
      <w:lvlJc w:val="left"/>
      <w:pPr>
        <w:ind w:left="3900" w:hanging="360"/>
      </w:pPr>
      <w:rPr>
        <w:rFonts w:ascii="Times New Roman" w:hAnsi="Times New Roman" w:cs="Times New Roman"/>
      </w:rPr>
    </w:lvl>
    <w:lvl w:ilvl="5" w:tplc="0419001B">
      <w:start w:val="1"/>
      <w:numFmt w:val="lowerRoman"/>
      <w:lvlText w:val="%6."/>
      <w:lvlJc w:val="right"/>
      <w:pPr>
        <w:ind w:left="4620" w:hanging="180"/>
      </w:pPr>
      <w:rPr>
        <w:rFonts w:ascii="Times New Roman" w:hAnsi="Times New Roman" w:cs="Times New Roman"/>
      </w:rPr>
    </w:lvl>
    <w:lvl w:ilvl="6" w:tplc="0419000F">
      <w:start w:val="1"/>
      <w:numFmt w:val="decimal"/>
      <w:lvlText w:val="%7."/>
      <w:lvlJc w:val="left"/>
      <w:pPr>
        <w:ind w:left="5340" w:hanging="360"/>
      </w:pPr>
      <w:rPr>
        <w:rFonts w:ascii="Times New Roman" w:hAnsi="Times New Roman" w:cs="Times New Roman"/>
      </w:rPr>
    </w:lvl>
    <w:lvl w:ilvl="7" w:tplc="04190019">
      <w:start w:val="1"/>
      <w:numFmt w:val="lowerLetter"/>
      <w:lvlText w:val="%8."/>
      <w:lvlJc w:val="left"/>
      <w:pPr>
        <w:ind w:left="6060" w:hanging="360"/>
      </w:pPr>
      <w:rPr>
        <w:rFonts w:ascii="Times New Roman" w:hAnsi="Times New Roman" w:cs="Times New Roman"/>
      </w:rPr>
    </w:lvl>
    <w:lvl w:ilvl="8" w:tplc="0419001B">
      <w:start w:val="1"/>
      <w:numFmt w:val="lowerRoman"/>
      <w:lvlText w:val="%9."/>
      <w:lvlJc w:val="right"/>
      <w:pPr>
        <w:ind w:left="6780" w:hanging="180"/>
      </w:pPr>
      <w:rPr>
        <w:rFonts w:ascii="Times New Roman" w:hAnsi="Times New Roman" w:cs="Times New Roman"/>
      </w:rPr>
    </w:lvl>
  </w:abstractNum>
  <w:abstractNum w:abstractNumId="3">
    <w:nsid w:val="08991312"/>
    <w:multiLevelType w:val="hybridMultilevel"/>
    <w:tmpl w:val="DC3C8D1C"/>
    <w:lvl w:ilvl="0" w:tplc="F90848D0">
      <w:start w:val="2"/>
      <w:numFmt w:val="upperRoman"/>
      <w:lvlText w:val="%1."/>
      <w:lvlJc w:val="left"/>
      <w:pPr>
        <w:ind w:left="1364" w:hanging="720"/>
      </w:pPr>
      <w:rPr>
        <w:rFonts w:ascii="Times New Roman" w:hAnsi="Times New Roman" w:cs="Times New Roman" w:hint="default"/>
      </w:rPr>
    </w:lvl>
    <w:lvl w:ilvl="1" w:tplc="04190019">
      <w:start w:val="1"/>
      <w:numFmt w:val="lowerLetter"/>
      <w:lvlText w:val="%2."/>
      <w:lvlJc w:val="left"/>
      <w:pPr>
        <w:ind w:left="1724" w:hanging="360"/>
      </w:pPr>
      <w:rPr>
        <w:rFonts w:ascii="Times New Roman" w:hAnsi="Times New Roman" w:cs="Times New Roman"/>
      </w:rPr>
    </w:lvl>
    <w:lvl w:ilvl="2" w:tplc="0419001B">
      <w:start w:val="1"/>
      <w:numFmt w:val="lowerRoman"/>
      <w:lvlText w:val="%3."/>
      <w:lvlJc w:val="right"/>
      <w:pPr>
        <w:ind w:left="2444" w:hanging="180"/>
      </w:pPr>
      <w:rPr>
        <w:rFonts w:ascii="Times New Roman" w:hAnsi="Times New Roman" w:cs="Times New Roman"/>
      </w:rPr>
    </w:lvl>
    <w:lvl w:ilvl="3" w:tplc="0419000F">
      <w:start w:val="1"/>
      <w:numFmt w:val="decimal"/>
      <w:lvlText w:val="%4."/>
      <w:lvlJc w:val="left"/>
      <w:pPr>
        <w:ind w:left="3164" w:hanging="360"/>
      </w:pPr>
      <w:rPr>
        <w:rFonts w:ascii="Times New Roman" w:hAnsi="Times New Roman" w:cs="Times New Roman"/>
      </w:rPr>
    </w:lvl>
    <w:lvl w:ilvl="4" w:tplc="04190019">
      <w:start w:val="1"/>
      <w:numFmt w:val="lowerLetter"/>
      <w:lvlText w:val="%5."/>
      <w:lvlJc w:val="left"/>
      <w:pPr>
        <w:ind w:left="3884" w:hanging="360"/>
      </w:pPr>
      <w:rPr>
        <w:rFonts w:ascii="Times New Roman" w:hAnsi="Times New Roman" w:cs="Times New Roman"/>
      </w:rPr>
    </w:lvl>
    <w:lvl w:ilvl="5" w:tplc="0419001B">
      <w:start w:val="1"/>
      <w:numFmt w:val="lowerRoman"/>
      <w:lvlText w:val="%6."/>
      <w:lvlJc w:val="right"/>
      <w:pPr>
        <w:ind w:left="4604" w:hanging="180"/>
      </w:pPr>
      <w:rPr>
        <w:rFonts w:ascii="Times New Roman" w:hAnsi="Times New Roman" w:cs="Times New Roman"/>
      </w:rPr>
    </w:lvl>
    <w:lvl w:ilvl="6" w:tplc="0419000F">
      <w:start w:val="1"/>
      <w:numFmt w:val="decimal"/>
      <w:lvlText w:val="%7."/>
      <w:lvlJc w:val="left"/>
      <w:pPr>
        <w:ind w:left="5324" w:hanging="360"/>
      </w:pPr>
      <w:rPr>
        <w:rFonts w:ascii="Times New Roman" w:hAnsi="Times New Roman" w:cs="Times New Roman"/>
      </w:rPr>
    </w:lvl>
    <w:lvl w:ilvl="7" w:tplc="04190019">
      <w:start w:val="1"/>
      <w:numFmt w:val="lowerLetter"/>
      <w:lvlText w:val="%8."/>
      <w:lvlJc w:val="left"/>
      <w:pPr>
        <w:ind w:left="6044" w:hanging="360"/>
      </w:pPr>
      <w:rPr>
        <w:rFonts w:ascii="Times New Roman" w:hAnsi="Times New Roman" w:cs="Times New Roman"/>
      </w:rPr>
    </w:lvl>
    <w:lvl w:ilvl="8" w:tplc="0419001B">
      <w:start w:val="1"/>
      <w:numFmt w:val="lowerRoman"/>
      <w:lvlText w:val="%9."/>
      <w:lvlJc w:val="right"/>
      <w:pPr>
        <w:ind w:left="6764" w:hanging="180"/>
      </w:pPr>
      <w:rPr>
        <w:rFonts w:ascii="Times New Roman" w:hAnsi="Times New Roman" w:cs="Times New Roman"/>
      </w:rPr>
    </w:lvl>
  </w:abstractNum>
  <w:abstractNum w:abstractNumId="4">
    <w:nsid w:val="0D622974"/>
    <w:multiLevelType w:val="hybridMultilevel"/>
    <w:tmpl w:val="E9842526"/>
    <w:lvl w:ilvl="0" w:tplc="83EA32DC">
      <w:start w:val="3"/>
      <w:numFmt w:val="bullet"/>
      <w:lvlText w:val="-"/>
      <w:lvlJc w:val="left"/>
      <w:pPr>
        <w:tabs>
          <w:tab w:val="num" w:pos="1068"/>
        </w:tabs>
        <w:ind w:left="1068"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11163A5F"/>
    <w:multiLevelType w:val="hybridMultilevel"/>
    <w:tmpl w:val="1EC82D4C"/>
    <w:lvl w:ilvl="0" w:tplc="83EA32DC">
      <w:start w:val="3"/>
      <w:numFmt w:val="bullet"/>
      <w:lvlText w:val="-"/>
      <w:lvlJc w:val="left"/>
      <w:pPr>
        <w:tabs>
          <w:tab w:val="num" w:pos="1440"/>
        </w:tabs>
        <w:ind w:left="1440" w:hanging="360"/>
      </w:p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6">
    <w:nsid w:val="14496DF1"/>
    <w:multiLevelType w:val="multilevel"/>
    <w:tmpl w:val="DBEEECC8"/>
    <w:lvl w:ilvl="0">
      <w:start w:val="2"/>
      <w:numFmt w:val="decimal"/>
      <w:lvlText w:val="%1."/>
      <w:lvlJc w:val="left"/>
      <w:pPr>
        <w:tabs>
          <w:tab w:val="num" w:pos="840"/>
        </w:tabs>
        <w:ind w:left="840" w:hanging="840"/>
      </w:pPr>
      <w:rPr>
        <w:rFonts w:ascii="Times New Roman" w:hAnsi="Times New Roman" w:cs="Times New Roman"/>
      </w:rPr>
    </w:lvl>
    <w:lvl w:ilvl="1">
      <w:start w:val="5"/>
      <w:numFmt w:val="decimal"/>
      <w:lvlText w:val="%1.%2."/>
      <w:lvlJc w:val="left"/>
      <w:pPr>
        <w:tabs>
          <w:tab w:val="num" w:pos="840"/>
        </w:tabs>
        <w:ind w:left="840" w:hanging="840"/>
      </w:pPr>
      <w:rPr>
        <w:rFonts w:ascii="Times New Roman" w:hAnsi="Times New Roman" w:cs="Times New Roman"/>
      </w:rPr>
    </w:lvl>
    <w:lvl w:ilvl="2">
      <w:start w:val="1"/>
      <w:numFmt w:val="decimal"/>
      <w:lvlText w:val="%1.%2.%3."/>
      <w:lvlJc w:val="left"/>
      <w:pPr>
        <w:tabs>
          <w:tab w:val="num" w:pos="840"/>
        </w:tabs>
        <w:ind w:left="840" w:hanging="840"/>
      </w:pPr>
      <w:rPr>
        <w:rFonts w:ascii="Times New Roman" w:hAnsi="Times New Roman" w:cs="Times New Roman"/>
      </w:rPr>
    </w:lvl>
    <w:lvl w:ilvl="3">
      <w:start w:val="1"/>
      <w:numFmt w:val="decimal"/>
      <w:lvlText w:val="%1.%2.%3.%4."/>
      <w:lvlJc w:val="left"/>
      <w:pPr>
        <w:tabs>
          <w:tab w:val="num" w:pos="1080"/>
        </w:tabs>
        <w:ind w:left="1080" w:hanging="1080"/>
      </w:pPr>
      <w:rPr>
        <w:rFonts w:ascii="Times New Roman" w:hAnsi="Times New Roman" w:cs="Times New Roman"/>
      </w:rPr>
    </w:lvl>
    <w:lvl w:ilvl="4">
      <w:start w:val="1"/>
      <w:numFmt w:val="lowerLetter"/>
      <w:lvlText w:val="%5)"/>
      <w:lvlJc w:val="left"/>
      <w:pPr>
        <w:tabs>
          <w:tab w:val="num" w:pos="360"/>
        </w:tabs>
        <w:ind w:left="360" w:hanging="360"/>
      </w:pPr>
      <w:rPr>
        <w:rFonts w:ascii="Times New Roman" w:hAnsi="Times New Roman" w:cs="Times New Roman"/>
      </w:rPr>
    </w:lvl>
    <w:lvl w:ilvl="5">
      <w:start w:val="1"/>
      <w:numFmt w:val="decimal"/>
      <w:lvlText w:val="%1.%2.%3.%4.%5.%6."/>
      <w:lvlJc w:val="left"/>
      <w:pPr>
        <w:tabs>
          <w:tab w:val="num" w:pos="1440"/>
        </w:tabs>
        <w:ind w:left="1440" w:hanging="1440"/>
      </w:pPr>
      <w:rPr>
        <w:rFonts w:ascii="Times New Roman" w:hAnsi="Times New Roman" w:cs="Times New Roman"/>
      </w:rPr>
    </w:lvl>
    <w:lvl w:ilvl="6">
      <w:start w:val="1"/>
      <w:numFmt w:val="decimal"/>
      <w:lvlText w:val="%1.%2.%3.%4.%5.%6.%7."/>
      <w:lvlJc w:val="left"/>
      <w:pPr>
        <w:tabs>
          <w:tab w:val="num" w:pos="1800"/>
        </w:tabs>
        <w:ind w:left="1800" w:hanging="1800"/>
      </w:pPr>
      <w:rPr>
        <w:rFonts w:ascii="Times New Roman" w:hAnsi="Times New Roman" w:cs="Times New Roman"/>
      </w:rPr>
    </w:lvl>
    <w:lvl w:ilvl="7">
      <w:start w:val="1"/>
      <w:numFmt w:val="decimal"/>
      <w:lvlText w:val="%1.%2.%3.%4.%5.%6.%7.%8."/>
      <w:lvlJc w:val="left"/>
      <w:pPr>
        <w:tabs>
          <w:tab w:val="num" w:pos="1800"/>
        </w:tabs>
        <w:ind w:left="1800" w:hanging="1800"/>
      </w:pPr>
      <w:rPr>
        <w:rFonts w:ascii="Times New Roman" w:hAnsi="Times New Roman" w:cs="Times New Roman"/>
      </w:rPr>
    </w:lvl>
    <w:lvl w:ilvl="8">
      <w:start w:val="1"/>
      <w:numFmt w:val="decimal"/>
      <w:lvlText w:val="%1.%2.%3.%4.%5.%6.%7.%8.%9."/>
      <w:lvlJc w:val="left"/>
      <w:pPr>
        <w:tabs>
          <w:tab w:val="num" w:pos="2160"/>
        </w:tabs>
        <w:ind w:left="2160" w:hanging="2160"/>
      </w:pPr>
      <w:rPr>
        <w:rFonts w:ascii="Times New Roman" w:hAnsi="Times New Roman" w:cs="Times New Roman"/>
      </w:rPr>
    </w:lvl>
  </w:abstractNum>
  <w:abstractNum w:abstractNumId="7">
    <w:nsid w:val="1CD008E7"/>
    <w:multiLevelType w:val="hybridMultilevel"/>
    <w:tmpl w:val="111834F6"/>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1F1A61DF"/>
    <w:multiLevelType w:val="hybridMultilevel"/>
    <w:tmpl w:val="AD88C2D6"/>
    <w:lvl w:ilvl="0" w:tplc="0428F214">
      <w:start w:val="1"/>
      <w:numFmt w:val="bullet"/>
      <w:lvlText w:val=""/>
      <w:lvlJc w:val="left"/>
      <w:pPr>
        <w:tabs>
          <w:tab w:val="num" w:pos="1080"/>
        </w:tabs>
        <w:ind w:left="1080" w:hanging="360"/>
      </w:pPr>
      <w:rPr>
        <w:rFonts w:ascii="Symbol" w:hAnsi="Symbol" w:cs="Symbol"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9">
    <w:nsid w:val="2BBA2E8F"/>
    <w:multiLevelType w:val="hybridMultilevel"/>
    <w:tmpl w:val="95AA3BCC"/>
    <w:lvl w:ilvl="0" w:tplc="2C0416CA">
      <w:start w:val="1"/>
      <w:numFmt w:val="upperRoman"/>
      <w:lvlText w:val="%1."/>
      <w:lvlJc w:val="left"/>
      <w:pPr>
        <w:ind w:left="1364" w:hanging="720"/>
      </w:pPr>
      <w:rPr>
        <w:rFonts w:ascii="Times New Roman" w:hAnsi="Times New Roman" w:cs="Times New Roman" w:hint="default"/>
      </w:rPr>
    </w:lvl>
    <w:lvl w:ilvl="1" w:tplc="04190019">
      <w:start w:val="1"/>
      <w:numFmt w:val="lowerLetter"/>
      <w:lvlText w:val="%2."/>
      <w:lvlJc w:val="left"/>
      <w:pPr>
        <w:ind w:left="1724" w:hanging="360"/>
      </w:pPr>
      <w:rPr>
        <w:rFonts w:ascii="Times New Roman" w:hAnsi="Times New Roman" w:cs="Times New Roman"/>
      </w:rPr>
    </w:lvl>
    <w:lvl w:ilvl="2" w:tplc="0419001B">
      <w:start w:val="1"/>
      <w:numFmt w:val="lowerRoman"/>
      <w:lvlText w:val="%3."/>
      <w:lvlJc w:val="right"/>
      <w:pPr>
        <w:ind w:left="2444" w:hanging="180"/>
      </w:pPr>
      <w:rPr>
        <w:rFonts w:ascii="Times New Roman" w:hAnsi="Times New Roman" w:cs="Times New Roman"/>
      </w:rPr>
    </w:lvl>
    <w:lvl w:ilvl="3" w:tplc="0419000F">
      <w:start w:val="1"/>
      <w:numFmt w:val="decimal"/>
      <w:lvlText w:val="%4."/>
      <w:lvlJc w:val="left"/>
      <w:pPr>
        <w:ind w:left="3164" w:hanging="360"/>
      </w:pPr>
      <w:rPr>
        <w:rFonts w:ascii="Times New Roman" w:hAnsi="Times New Roman" w:cs="Times New Roman"/>
      </w:rPr>
    </w:lvl>
    <w:lvl w:ilvl="4" w:tplc="04190019">
      <w:start w:val="1"/>
      <w:numFmt w:val="lowerLetter"/>
      <w:lvlText w:val="%5."/>
      <w:lvlJc w:val="left"/>
      <w:pPr>
        <w:ind w:left="3884" w:hanging="360"/>
      </w:pPr>
      <w:rPr>
        <w:rFonts w:ascii="Times New Roman" w:hAnsi="Times New Roman" w:cs="Times New Roman"/>
      </w:rPr>
    </w:lvl>
    <w:lvl w:ilvl="5" w:tplc="0419001B">
      <w:start w:val="1"/>
      <w:numFmt w:val="lowerRoman"/>
      <w:lvlText w:val="%6."/>
      <w:lvlJc w:val="right"/>
      <w:pPr>
        <w:ind w:left="4604" w:hanging="180"/>
      </w:pPr>
      <w:rPr>
        <w:rFonts w:ascii="Times New Roman" w:hAnsi="Times New Roman" w:cs="Times New Roman"/>
      </w:rPr>
    </w:lvl>
    <w:lvl w:ilvl="6" w:tplc="0419000F">
      <w:start w:val="1"/>
      <w:numFmt w:val="decimal"/>
      <w:lvlText w:val="%7."/>
      <w:lvlJc w:val="left"/>
      <w:pPr>
        <w:ind w:left="5324" w:hanging="360"/>
      </w:pPr>
      <w:rPr>
        <w:rFonts w:ascii="Times New Roman" w:hAnsi="Times New Roman" w:cs="Times New Roman"/>
      </w:rPr>
    </w:lvl>
    <w:lvl w:ilvl="7" w:tplc="04190019">
      <w:start w:val="1"/>
      <w:numFmt w:val="lowerLetter"/>
      <w:lvlText w:val="%8."/>
      <w:lvlJc w:val="left"/>
      <w:pPr>
        <w:ind w:left="6044" w:hanging="360"/>
      </w:pPr>
      <w:rPr>
        <w:rFonts w:ascii="Times New Roman" w:hAnsi="Times New Roman" w:cs="Times New Roman"/>
      </w:rPr>
    </w:lvl>
    <w:lvl w:ilvl="8" w:tplc="0419001B">
      <w:start w:val="1"/>
      <w:numFmt w:val="lowerRoman"/>
      <w:lvlText w:val="%9."/>
      <w:lvlJc w:val="right"/>
      <w:pPr>
        <w:ind w:left="6764" w:hanging="180"/>
      </w:pPr>
      <w:rPr>
        <w:rFonts w:ascii="Times New Roman" w:hAnsi="Times New Roman" w:cs="Times New Roman"/>
      </w:rPr>
    </w:lvl>
  </w:abstractNum>
  <w:abstractNum w:abstractNumId="10">
    <w:nsid w:val="2C4D34AC"/>
    <w:multiLevelType w:val="multilevel"/>
    <w:tmpl w:val="AE2EBF66"/>
    <w:lvl w:ilvl="0">
      <w:start w:val="4"/>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540"/>
        </w:tabs>
        <w:ind w:left="540" w:hanging="360"/>
      </w:pPr>
      <w:rPr>
        <w:rFonts w:ascii="Times New Roman" w:hAnsi="Times New Roman" w:cs="Times New Roman" w:hint="default"/>
      </w:rPr>
    </w:lvl>
    <w:lvl w:ilvl="2">
      <w:start w:val="1"/>
      <w:numFmt w:val="decimal"/>
      <w:lvlText w:val="%1.%2.%3."/>
      <w:lvlJc w:val="left"/>
      <w:pPr>
        <w:tabs>
          <w:tab w:val="num" w:pos="1080"/>
        </w:tabs>
        <w:ind w:left="1080" w:hanging="720"/>
      </w:pPr>
      <w:rPr>
        <w:rFonts w:ascii="Times New Roman" w:hAnsi="Times New Roman" w:cs="Times New Roman" w:hint="default"/>
      </w:rPr>
    </w:lvl>
    <w:lvl w:ilvl="3">
      <w:start w:val="1"/>
      <w:numFmt w:val="decimal"/>
      <w:lvlText w:val="%1.%2.%3.%4."/>
      <w:lvlJc w:val="left"/>
      <w:pPr>
        <w:tabs>
          <w:tab w:val="num" w:pos="1260"/>
        </w:tabs>
        <w:ind w:left="1260" w:hanging="720"/>
      </w:pPr>
      <w:rPr>
        <w:rFonts w:ascii="Times New Roman" w:hAnsi="Times New Roman" w:cs="Times New Roman" w:hint="default"/>
      </w:rPr>
    </w:lvl>
    <w:lvl w:ilvl="4">
      <w:start w:val="1"/>
      <w:numFmt w:val="decimal"/>
      <w:lvlText w:val="%1.%2.%3.%4.%5."/>
      <w:lvlJc w:val="left"/>
      <w:pPr>
        <w:tabs>
          <w:tab w:val="num" w:pos="1800"/>
        </w:tabs>
        <w:ind w:left="1800" w:hanging="1080"/>
      </w:pPr>
      <w:rPr>
        <w:rFonts w:ascii="Times New Roman" w:hAnsi="Times New Roman" w:cs="Times New Roman" w:hint="default"/>
      </w:rPr>
    </w:lvl>
    <w:lvl w:ilvl="5">
      <w:start w:val="1"/>
      <w:numFmt w:val="decimal"/>
      <w:lvlText w:val="%1.%2.%3.%4.%5.%6."/>
      <w:lvlJc w:val="left"/>
      <w:pPr>
        <w:tabs>
          <w:tab w:val="num" w:pos="1980"/>
        </w:tabs>
        <w:ind w:left="1980" w:hanging="1080"/>
      </w:pPr>
      <w:rPr>
        <w:rFonts w:ascii="Times New Roman" w:hAnsi="Times New Roman" w:cs="Times New Roman" w:hint="default"/>
      </w:rPr>
    </w:lvl>
    <w:lvl w:ilvl="6">
      <w:start w:val="1"/>
      <w:numFmt w:val="decimal"/>
      <w:lvlText w:val="%1.%2.%3.%4.%5.%6.%7."/>
      <w:lvlJc w:val="left"/>
      <w:pPr>
        <w:tabs>
          <w:tab w:val="num" w:pos="2520"/>
        </w:tabs>
        <w:ind w:left="2520" w:hanging="1440"/>
      </w:pPr>
      <w:rPr>
        <w:rFonts w:ascii="Times New Roman" w:hAnsi="Times New Roman" w:cs="Times New Roman" w:hint="default"/>
      </w:rPr>
    </w:lvl>
    <w:lvl w:ilvl="7">
      <w:start w:val="1"/>
      <w:numFmt w:val="decimal"/>
      <w:lvlText w:val="%1.%2.%3.%4.%5.%6.%7.%8."/>
      <w:lvlJc w:val="left"/>
      <w:pPr>
        <w:tabs>
          <w:tab w:val="num" w:pos="2700"/>
        </w:tabs>
        <w:ind w:left="2700" w:hanging="1440"/>
      </w:pPr>
      <w:rPr>
        <w:rFonts w:ascii="Times New Roman" w:hAnsi="Times New Roman" w:cs="Times New Roman" w:hint="default"/>
      </w:rPr>
    </w:lvl>
    <w:lvl w:ilvl="8">
      <w:start w:val="1"/>
      <w:numFmt w:val="decimal"/>
      <w:lvlText w:val="%1.%2.%3.%4.%5.%6.%7.%8.%9."/>
      <w:lvlJc w:val="left"/>
      <w:pPr>
        <w:tabs>
          <w:tab w:val="num" w:pos="3240"/>
        </w:tabs>
        <w:ind w:left="3240" w:hanging="1800"/>
      </w:pPr>
      <w:rPr>
        <w:rFonts w:ascii="Times New Roman" w:hAnsi="Times New Roman" w:cs="Times New Roman" w:hint="default"/>
      </w:rPr>
    </w:lvl>
  </w:abstractNum>
  <w:abstractNum w:abstractNumId="11">
    <w:nsid w:val="356A5FCE"/>
    <w:multiLevelType w:val="multilevel"/>
    <w:tmpl w:val="0EB0DF1E"/>
    <w:lvl w:ilvl="0">
      <w:start w:val="1"/>
      <w:numFmt w:val="decimal"/>
      <w:pStyle w:val="a"/>
      <w:lvlText w:val="%1."/>
      <w:lvlJc w:val="left"/>
      <w:pPr>
        <w:tabs>
          <w:tab w:val="num" w:pos="1134"/>
        </w:tabs>
        <w:ind w:firstLine="567"/>
      </w:pPr>
      <w:rPr>
        <w:rFonts w:ascii="Times New Roman" w:hAnsi="Times New Roman" w:cs="Times New Roman"/>
      </w:rPr>
    </w:lvl>
    <w:lvl w:ilvl="1">
      <w:start w:val="1"/>
      <w:numFmt w:val="decimal"/>
      <w:lvlText w:val="%1.%2."/>
      <w:lvlJc w:val="left"/>
      <w:pPr>
        <w:tabs>
          <w:tab w:val="num" w:pos="708"/>
        </w:tabs>
        <w:ind w:left="2126" w:hanging="708"/>
      </w:pPr>
      <w:rPr>
        <w:rFonts w:ascii="Times New Roman" w:hAnsi="Times New Roman" w:cs="Times New Roman"/>
      </w:rPr>
    </w:lvl>
    <w:lvl w:ilvl="2">
      <w:start w:val="1"/>
      <w:numFmt w:val="decimal"/>
      <w:lvlText w:val="%1.%2.%3."/>
      <w:lvlJc w:val="left"/>
      <w:pPr>
        <w:tabs>
          <w:tab w:val="num" w:pos="2835"/>
        </w:tabs>
        <w:ind w:left="2835" w:hanging="708"/>
      </w:pPr>
      <w:rPr>
        <w:rFonts w:ascii="Times New Roman" w:hAnsi="Times New Roman" w:cs="Times New Roman"/>
      </w:rPr>
    </w:lvl>
    <w:lvl w:ilvl="3">
      <w:start w:val="1"/>
      <w:numFmt w:val="decimal"/>
      <w:lvlText w:val="%1.%2.%3.%4."/>
      <w:lvlJc w:val="left"/>
      <w:pPr>
        <w:tabs>
          <w:tab w:val="num" w:pos="708"/>
        </w:tabs>
        <w:ind w:left="3540" w:hanging="708"/>
      </w:pPr>
      <w:rPr>
        <w:rFonts w:ascii="Times New Roman" w:hAnsi="Times New Roman" w:cs="Times New Roman"/>
      </w:rPr>
    </w:lvl>
    <w:lvl w:ilvl="4">
      <w:start w:val="1"/>
      <w:numFmt w:val="decimal"/>
      <w:lvlText w:val="%1.%2.%3.%4.%5."/>
      <w:lvlJc w:val="left"/>
      <w:pPr>
        <w:tabs>
          <w:tab w:val="num" w:pos="708"/>
        </w:tabs>
        <w:ind w:left="4248" w:hanging="708"/>
      </w:pPr>
      <w:rPr>
        <w:rFonts w:ascii="Times New Roman" w:hAnsi="Times New Roman" w:cs="Times New Roman"/>
      </w:rPr>
    </w:lvl>
    <w:lvl w:ilvl="5">
      <w:numFmt w:val="none"/>
      <w:lvlText w:val=""/>
      <w:lvlJc w:val="left"/>
      <w:pPr>
        <w:tabs>
          <w:tab w:val="num" w:pos="360"/>
        </w:tabs>
      </w:pPr>
      <w:rPr>
        <w:rFonts w:ascii="Times New Roman" w:hAnsi="Times New Roman" w:cs="Times New Roman"/>
      </w:rPr>
    </w:lvl>
    <w:lvl w:ilvl="6">
      <w:start w:val="1"/>
      <w:numFmt w:val="decimal"/>
      <w:lvlText w:val="%1.%2.%3.%4.%5.%6.%7."/>
      <w:lvlJc w:val="left"/>
      <w:pPr>
        <w:tabs>
          <w:tab w:val="num" w:pos="708"/>
        </w:tabs>
        <w:ind w:left="5664" w:hanging="708"/>
      </w:pPr>
      <w:rPr>
        <w:rFonts w:ascii="Times New Roman" w:hAnsi="Times New Roman" w:cs="Times New Roman"/>
      </w:rPr>
    </w:lvl>
    <w:lvl w:ilvl="7">
      <w:start w:val="1"/>
      <w:numFmt w:val="decimal"/>
      <w:lvlText w:val="%1.%2.%3.%4.%5.%6.%7.%8."/>
      <w:lvlJc w:val="left"/>
      <w:pPr>
        <w:tabs>
          <w:tab w:val="num" w:pos="708"/>
        </w:tabs>
        <w:ind w:left="6372" w:hanging="708"/>
      </w:pPr>
      <w:rPr>
        <w:rFonts w:ascii="Times New Roman" w:hAnsi="Times New Roman" w:cs="Times New Roman"/>
      </w:rPr>
    </w:lvl>
    <w:lvl w:ilvl="8">
      <w:start w:val="1"/>
      <w:numFmt w:val="decimal"/>
      <w:lvlText w:val="%1.%2.%3.%4.%5.%6.%7.%8.%9."/>
      <w:lvlJc w:val="left"/>
      <w:pPr>
        <w:tabs>
          <w:tab w:val="num" w:pos="708"/>
        </w:tabs>
        <w:ind w:left="7080" w:hanging="708"/>
      </w:pPr>
      <w:rPr>
        <w:rFonts w:ascii="Times New Roman" w:hAnsi="Times New Roman" w:cs="Times New Roman"/>
      </w:rPr>
    </w:lvl>
  </w:abstractNum>
  <w:abstractNum w:abstractNumId="12">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3">
    <w:nsid w:val="3746291C"/>
    <w:multiLevelType w:val="hybridMultilevel"/>
    <w:tmpl w:val="4724BD84"/>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3B992642"/>
    <w:multiLevelType w:val="hybridMultilevel"/>
    <w:tmpl w:val="CCC63D30"/>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C8C15E7"/>
    <w:multiLevelType w:val="hybridMultilevel"/>
    <w:tmpl w:val="0C6AA48A"/>
    <w:lvl w:ilvl="0" w:tplc="8A02169C">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6">
    <w:nsid w:val="3D5F28EA"/>
    <w:multiLevelType w:val="hybridMultilevel"/>
    <w:tmpl w:val="615A1E14"/>
    <w:lvl w:ilvl="0" w:tplc="0419000F">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7">
    <w:nsid w:val="478A395C"/>
    <w:multiLevelType w:val="multilevel"/>
    <w:tmpl w:val="8E6C6CFE"/>
    <w:lvl w:ilvl="0">
      <w:start w:val="1"/>
      <w:numFmt w:val="decimal"/>
      <w:lvlText w:val="%1."/>
      <w:lvlJc w:val="left"/>
      <w:pPr>
        <w:tabs>
          <w:tab w:val="num" w:pos="1134"/>
        </w:tabs>
        <w:ind w:left="1134" w:hanging="1134"/>
      </w:pPr>
      <w:rPr>
        <w:rFonts w:ascii="Times New Roman" w:hAnsi="Times New Roman" w:cs="Times New Roman"/>
      </w:rPr>
    </w:lvl>
    <w:lvl w:ilvl="1">
      <w:start w:val="1"/>
      <w:numFmt w:val="decimal"/>
      <w:lvlText w:val="%1.%2"/>
      <w:lvlJc w:val="left"/>
      <w:pPr>
        <w:tabs>
          <w:tab w:val="num" w:pos="1574"/>
        </w:tabs>
        <w:ind w:left="1574" w:hanging="1134"/>
      </w:pPr>
      <w:rPr>
        <w:rFonts w:ascii="Times New Roman" w:hAnsi="Times New Roman" w:cs="Times New Roman"/>
      </w:rPr>
    </w:lvl>
    <w:lvl w:ilvl="2">
      <w:start w:val="1"/>
      <w:numFmt w:val="decimal"/>
      <w:lvlText w:val="%1.%2.%3"/>
      <w:lvlJc w:val="left"/>
      <w:pPr>
        <w:tabs>
          <w:tab w:val="num" w:pos="1134"/>
        </w:tabs>
        <w:ind w:left="1134" w:hanging="1134"/>
      </w:pPr>
      <w:rPr>
        <w:rFonts w:ascii="Times New Roman" w:hAnsi="Times New Roman" w:cs="Times New Roman"/>
        <w:b w:val="0"/>
        <w:bCs w:val="0"/>
        <w:i w:val="0"/>
        <w:iCs w:val="0"/>
      </w:rPr>
    </w:lvl>
    <w:lvl w:ilvl="3">
      <w:start w:val="1"/>
      <w:numFmt w:val="decimal"/>
      <w:lvlText w:val="%1.%2.%3.%4"/>
      <w:lvlJc w:val="left"/>
      <w:pPr>
        <w:tabs>
          <w:tab w:val="num" w:pos="1134"/>
        </w:tabs>
        <w:ind w:left="1134" w:hanging="1134"/>
      </w:pPr>
      <w:rPr>
        <w:rFonts w:ascii="Times New Roman" w:hAnsi="Times New Roman" w:cs="Times New Roman"/>
        <w:b w:val="0"/>
        <w:bCs w:val="0"/>
        <w:i w:val="0"/>
        <w:iCs w:val="0"/>
      </w:rPr>
    </w:lvl>
    <w:lvl w:ilvl="4">
      <w:start w:val="1"/>
      <w:numFmt w:val="lowerLetter"/>
      <w:lvlText w:val="%5)"/>
      <w:lvlJc w:val="left"/>
      <w:pPr>
        <w:tabs>
          <w:tab w:val="num" w:pos="1701"/>
        </w:tabs>
        <w:ind w:left="1701" w:hanging="567"/>
      </w:pPr>
      <w:rPr>
        <w:rFonts w:ascii="Times New Roman" w:hAnsi="Times New Roman" w:cs="Times New Roman"/>
      </w:rPr>
    </w:lvl>
    <w:lvl w:ilvl="5">
      <w:start w:val="1"/>
      <w:numFmt w:val="decimal"/>
      <w:lvlText w:val="%1.%2.%3.%4.%5.%6."/>
      <w:lvlJc w:val="left"/>
      <w:pPr>
        <w:tabs>
          <w:tab w:val="num" w:pos="3960"/>
        </w:tabs>
        <w:ind w:left="2736" w:hanging="936"/>
      </w:pPr>
      <w:rPr>
        <w:rFonts w:ascii="Times New Roman" w:hAnsi="Times New Roman" w:cs="Times New Roman"/>
      </w:rPr>
    </w:lvl>
    <w:lvl w:ilvl="6">
      <w:start w:val="1"/>
      <w:numFmt w:val="decimal"/>
      <w:lvlText w:val="%1.%2.%3.%4.%5.%6.%7."/>
      <w:lvlJc w:val="left"/>
      <w:pPr>
        <w:tabs>
          <w:tab w:val="num" w:pos="4680"/>
        </w:tabs>
        <w:ind w:left="3240" w:hanging="1080"/>
      </w:pPr>
      <w:rPr>
        <w:rFonts w:ascii="Times New Roman" w:hAnsi="Times New Roman" w:cs="Times New Roman"/>
      </w:rPr>
    </w:lvl>
    <w:lvl w:ilvl="7">
      <w:start w:val="1"/>
      <w:numFmt w:val="decimal"/>
      <w:lvlText w:val="%1.%2.%3.%4.%5.%6.%7.%8."/>
      <w:lvlJc w:val="left"/>
      <w:pPr>
        <w:tabs>
          <w:tab w:val="num" w:pos="5400"/>
        </w:tabs>
        <w:ind w:left="3744" w:hanging="1224"/>
      </w:pPr>
      <w:rPr>
        <w:rFonts w:ascii="Times New Roman" w:hAnsi="Times New Roman" w:cs="Times New Roman"/>
      </w:rPr>
    </w:lvl>
    <w:lvl w:ilvl="8">
      <w:start w:val="1"/>
      <w:numFmt w:val="decimal"/>
      <w:lvlText w:val="%1.%2.%3.%4.%5.%6.%7.%8.%9."/>
      <w:lvlJc w:val="left"/>
      <w:pPr>
        <w:tabs>
          <w:tab w:val="num" w:pos="6120"/>
        </w:tabs>
        <w:ind w:left="4320" w:hanging="1440"/>
      </w:pPr>
      <w:rPr>
        <w:rFonts w:ascii="Times New Roman" w:hAnsi="Times New Roman" w:cs="Times New Roman"/>
      </w:rPr>
    </w:lvl>
  </w:abstractNum>
  <w:abstractNum w:abstractNumId="18">
    <w:nsid w:val="514C2676"/>
    <w:multiLevelType w:val="hybridMultilevel"/>
    <w:tmpl w:val="65F25076"/>
    <w:lvl w:ilvl="0" w:tplc="0419000F">
      <w:start w:val="1"/>
      <w:numFmt w:val="decimal"/>
      <w:lvlText w:val="%1."/>
      <w:lvlJc w:val="left"/>
      <w:pPr>
        <w:ind w:left="644" w:hanging="360"/>
      </w:pPr>
      <w:rPr>
        <w:rFonts w:ascii="Times New Roman" w:hAnsi="Times New Roman" w:cs="Times New Roman"/>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19">
    <w:nsid w:val="59816720"/>
    <w:multiLevelType w:val="hybridMultilevel"/>
    <w:tmpl w:val="2170360E"/>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B">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78053202"/>
    <w:multiLevelType w:val="hybridMultilevel"/>
    <w:tmpl w:val="2B5021BA"/>
    <w:lvl w:ilvl="0" w:tplc="0419000F">
      <w:start w:val="1"/>
      <w:numFmt w:val="decimal"/>
      <w:lvlText w:val="%1."/>
      <w:lvlJc w:val="left"/>
      <w:pPr>
        <w:ind w:left="720" w:hanging="360"/>
      </w:pPr>
      <w:rPr>
        <w:rFonts w:ascii="Times New Roman" w:hAnsi="Times New Roman" w:cs="Times New Roman"/>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21">
    <w:nsid w:val="7BF242B3"/>
    <w:multiLevelType w:val="multilevel"/>
    <w:tmpl w:val="E9969D6C"/>
    <w:lvl w:ilvl="0">
      <w:start w:val="2"/>
      <w:numFmt w:val="decimal"/>
      <w:lvlText w:val="%1."/>
      <w:lvlJc w:val="left"/>
      <w:pPr>
        <w:tabs>
          <w:tab w:val="num" w:pos="660"/>
        </w:tabs>
        <w:ind w:left="660" w:hanging="660"/>
      </w:pPr>
      <w:rPr>
        <w:rFonts w:ascii="Times New Roman" w:hAnsi="Times New Roman" w:cs="Times New Roman"/>
      </w:rPr>
    </w:lvl>
    <w:lvl w:ilvl="1">
      <w:start w:val="4"/>
      <w:numFmt w:val="decimal"/>
      <w:lvlText w:val="%1.%2."/>
      <w:lvlJc w:val="left"/>
      <w:pPr>
        <w:tabs>
          <w:tab w:val="num" w:pos="660"/>
        </w:tabs>
        <w:ind w:left="660" w:hanging="660"/>
      </w:pPr>
      <w:rPr>
        <w:rFonts w:ascii="Times New Roman" w:hAnsi="Times New Roman" w:cs="Times New Roman"/>
      </w:rPr>
    </w:lvl>
    <w:lvl w:ilvl="2">
      <w:start w:val="3"/>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22">
    <w:nsid w:val="7DA4554B"/>
    <w:multiLevelType w:val="hybridMultilevel"/>
    <w:tmpl w:val="0D56EF26"/>
    <w:lvl w:ilvl="0" w:tplc="3B324E2C">
      <w:start w:val="1"/>
      <w:numFmt w:val="lowerLetter"/>
      <w:lvlText w:val="%1)"/>
      <w:lvlJc w:val="left"/>
      <w:pPr>
        <w:tabs>
          <w:tab w:val="num" w:pos="360"/>
        </w:tabs>
        <w:ind w:left="360" w:hanging="360"/>
      </w:pPr>
      <w:rPr>
        <w:rFonts w:ascii="Times New Roman" w:hAnsi="Times New Roman" w:cs="Times New Roman"/>
      </w:rPr>
    </w:lvl>
    <w:lvl w:ilvl="1" w:tplc="04190019">
      <w:start w:val="1"/>
      <w:numFmt w:val="lowerLetter"/>
      <w:lvlText w:val="%2."/>
      <w:lvlJc w:val="left"/>
      <w:pPr>
        <w:tabs>
          <w:tab w:val="num" w:pos="-311"/>
        </w:tabs>
        <w:ind w:left="-311" w:hanging="360"/>
      </w:pPr>
      <w:rPr>
        <w:rFonts w:ascii="Times New Roman" w:hAnsi="Times New Roman" w:cs="Times New Roman"/>
      </w:rPr>
    </w:lvl>
    <w:lvl w:ilvl="2" w:tplc="0419001B">
      <w:start w:val="1"/>
      <w:numFmt w:val="lowerRoman"/>
      <w:lvlText w:val="%3."/>
      <w:lvlJc w:val="right"/>
      <w:pPr>
        <w:tabs>
          <w:tab w:val="num" w:pos="409"/>
        </w:tabs>
        <w:ind w:left="409" w:hanging="180"/>
      </w:pPr>
      <w:rPr>
        <w:rFonts w:ascii="Times New Roman" w:hAnsi="Times New Roman" w:cs="Times New Roman"/>
      </w:rPr>
    </w:lvl>
    <w:lvl w:ilvl="3" w:tplc="0419000F">
      <w:start w:val="1"/>
      <w:numFmt w:val="decimal"/>
      <w:lvlText w:val="%4."/>
      <w:lvlJc w:val="left"/>
      <w:pPr>
        <w:tabs>
          <w:tab w:val="num" w:pos="1129"/>
        </w:tabs>
        <w:ind w:left="1129" w:hanging="360"/>
      </w:pPr>
      <w:rPr>
        <w:rFonts w:ascii="Times New Roman" w:hAnsi="Times New Roman" w:cs="Times New Roman"/>
      </w:rPr>
    </w:lvl>
    <w:lvl w:ilvl="4" w:tplc="6FE6320A">
      <w:start w:val="1"/>
      <w:numFmt w:val="lowerLetter"/>
      <w:lvlText w:val="%5)"/>
      <w:lvlJc w:val="left"/>
      <w:pPr>
        <w:tabs>
          <w:tab w:val="num" w:pos="1849"/>
        </w:tabs>
        <w:ind w:left="1849" w:hanging="360"/>
      </w:pPr>
      <w:rPr>
        <w:rFonts w:ascii="Times New Roman" w:hAnsi="Times New Roman" w:cs="Times New Roman"/>
      </w:rPr>
    </w:lvl>
    <w:lvl w:ilvl="5" w:tplc="0419001B">
      <w:start w:val="1"/>
      <w:numFmt w:val="lowerRoman"/>
      <w:lvlText w:val="%6."/>
      <w:lvlJc w:val="right"/>
      <w:pPr>
        <w:tabs>
          <w:tab w:val="num" w:pos="2569"/>
        </w:tabs>
        <w:ind w:left="2569" w:hanging="180"/>
      </w:pPr>
      <w:rPr>
        <w:rFonts w:ascii="Times New Roman" w:hAnsi="Times New Roman" w:cs="Times New Roman"/>
      </w:rPr>
    </w:lvl>
    <w:lvl w:ilvl="6" w:tplc="0419000F">
      <w:start w:val="1"/>
      <w:numFmt w:val="decimal"/>
      <w:lvlText w:val="%7."/>
      <w:lvlJc w:val="left"/>
      <w:pPr>
        <w:tabs>
          <w:tab w:val="num" w:pos="3289"/>
        </w:tabs>
        <w:ind w:left="3289" w:hanging="360"/>
      </w:pPr>
      <w:rPr>
        <w:rFonts w:ascii="Times New Roman" w:hAnsi="Times New Roman" w:cs="Times New Roman"/>
      </w:rPr>
    </w:lvl>
    <w:lvl w:ilvl="7" w:tplc="04190019">
      <w:start w:val="1"/>
      <w:numFmt w:val="lowerLetter"/>
      <w:lvlText w:val="%8."/>
      <w:lvlJc w:val="left"/>
      <w:pPr>
        <w:tabs>
          <w:tab w:val="num" w:pos="4009"/>
        </w:tabs>
        <w:ind w:left="4009" w:hanging="360"/>
      </w:pPr>
      <w:rPr>
        <w:rFonts w:ascii="Times New Roman" w:hAnsi="Times New Roman" w:cs="Times New Roman"/>
      </w:rPr>
    </w:lvl>
    <w:lvl w:ilvl="8" w:tplc="0419001B">
      <w:start w:val="1"/>
      <w:numFmt w:val="lowerRoman"/>
      <w:lvlText w:val="%9."/>
      <w:lvlJc w:val="right"/>
      <w:pPr>
        <w:tabs>
          <w:tab w:val="num" w:pos="4729"/>
        </w:tabs>
        <w:ind w:left="4729" w:hanging="180"/>
      </w:pPr>
      <w:rPr>
        <w:rFonts w:ascii="Times New Roman" w:hAnsi="Times New Roman" w:cs="Times New Roman"/>
      </w:rPr>
    </w:lvl>
  </w:abstractNum>
  <w:num w:numId="1">
    <w:abstractNumId w:val="5"/>
  </w:num>
  <w:num w:numId="2">
    <w:abstractNumId w:val="4"/>
  </w:num>
  <w:num w:numId="3">
    <w:abstractNumId w:val="12"/>
  </w:num>
  <w:num w:numId="4">
    <w:abstractNumId w:val="8"/>
  </w:num>
  <w:num w:numId="5">
    <w:abstractNumId w:val="18"/>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5"/>
  </w:num>
  <w:num w:numId="9">
    <w:abstractNumId w:val="16"/>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
    <w:abstractNumId w:val="21"/>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 w:numId="17">
    <w:abstractNumId w:val="14"/>
  </w:num>
  <w:num w:numId="18">
    <w:abstractNumId w:val="3"/>
  </w:num>
  <w:num w:numId="19">
    <w:abstractNumId w:val="9"/>
  </w:num>
  <w:num w:numId="20">
    <w:abstractNumId w:val="2"/>
  </w:num>
  <w:num w:numId="21">
    <w:abstractNumId w:val="0"/>
  </w:num>
  <w:num w:numId="22">
    <w:abstractNumId w:val="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revisionView w:markup="0"/>
  <w:trackRevisions/>
  <w:defaultTabStop w:val="708"/>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057"/>
    <w:rsid w:val="0030707E"/>
    <w:rsid w:val="00335D71"/>
    <w:rsid w:val="00AE3057"/>
    <w:rsid w:val="00CD707B"/>
    <w:rsid w:val="00D232BD"/>
    <w:rsid w:val="00F31D74"/>
    <w:rsid w:val="00F51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caption" w:uiPriority="35" w:qFormat="1"/>
    <w:lsdException w:name="annotation reference"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Plain Text"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autoSpaceDE w:val="0"/>
      <w:autoSpaceDN w:val="0"/>
      <w:adjustRightInd w:val="0"/>
    </w:pPr>
    <w:rPr>
      <w:rFonts w:ascii="Arial" w:hAnsi="Arial" w:cs="Arial"/>
      <w:sz w:val="20"/>
      <w:szCs w:val="20"/>
    </w:rPr>
  </w:style>
  <w:style w:type="paragraph" w:styleId="1">
    <w:name w:val="heading 1"/>
    <w:aliases w:val="Заголовок 1_стандарта,Document Header1,H1,Введение...,Б1,Heading 1iz,Б11,Заголовок параграфа (1.),Headi...,co,Section,Section Heading,level2 hdg,h1,Level 1 Topic Heading,app heading 1,ITT t1,II+,I,H11,H12,H13,H14,H15,H16,H17,H18"/>
    <w:basedOn w:val="a0"/>
    <w:next w:val="a0"/>
    <w:link w:val="10"/>
    <w:uiPriority w:val="99"/>
    <w:qFormat/>
    <w:pPr>
      <w:keepNext/>
      <w:shd w:val="clear" w:color="auto" w:fill="FFFFFF"/>
      <w:tabs>
        <w:tab w:val="num" w:pos="432"/>
      </w:tabs>
      <w:spacing w:before="744" w:line="370" w:lineRule="exact"/>
      <w:ind w:left="432" w:hanging="432"/>
      <w:jc w:val="right"/>
      <w:outlineLvl w:val="0"/>
    </w:pPr>
    <w:rPr>
      <w:b/>
      <w:bCs/>
      <w:color w:val="000000"/>
      <w:spacing w:val="-3"/>
      <w:sz w:val="32"/>
      <w:szCs w:val="32"/>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h21,5,Заголовок 22,H22,h22"/>
    <w:basedOn w:val="a0"/>
    <w:next w:val="a0"/>
    <w:link w:val="21"/>
    <w:uiPriority w:val="99"/>
    <w:qFormat/>
    <w:pPr>
      <w:keepNext/>
      <w:tabs>
        <w:tab w:val="num" w:pos="1011"/>
      </w:tabs>
      <w:ind w:firstLine="720"/>
      <w:outlineLvl w:val="1"/>
    </w:pPr>
    <w:rPr>
      <w:sz w:val="28"/>
      <w:szCs w:val="28"/>
    </w:rPr>
  </w:style>
  <w:style w:type="paragraph" w:styleId="3">
    <w:name w:val="heading 3"/>
    <w:aliases w:val="H3,H31,Заголовок подпукта (1.1.1),Map,h3,Level 3 Topic Heading,Minor,H32,H33,H34,H35,H36,H37,H38,H39,H310,H311,H312,H313,H314,3,Level 1 - 1,h31,h32,h33,h34,h35,h36,h37,h38,h39,h310,h311,h321,h331,h341,h351,h361,h371,h381,h312,h322,h332,h342"/>
    <w:basedOn w:val="a0"/>
    <w:next w:val="a0"/>
    <w:link w:val="30"/>
    <w:uiPriority w:val="99"/>
    <w:qFormat/>
    <w:pPr>
      <w:keepNext/>
      <w:jc w:val="both"/>
      <w:outlineLvl w:val="2"/>
    </w:pPr>
    <w:rPr>
      <w:rFonts w:ascii="Cambria" w:hAnsi="Cambria" w:cs="Cambria"/>
      <w:b/>
      <w:bCs/>
      <w:sz w:val="26"/>
      <w:szCs w:val="26"/>
    </w:rPr>
  </w:style>
  <w:style w:type="paragraph" w:styleId="4">
    <w:name w:val="heading 4"/>
    <w:aliases w:val="H41"/>
    <w:basedOn w:val="a0"/>
    <w:next w:val="a0"/>
    <w:link w:val="40"/>
    <w:uiPriority w:val="99"/>
    <w:qFormat/>
    <w:pPr>
      <w:keepNext/>
      <w:ind w:firstLine="709"/>
      <w:jc w:val="center"/>
      <w:outlineLvl w:val="3"/>
    </w:pPr>
    <w:rPr>
      <w:rFonts w:ascii="Calibri" w:hAnsi="Calibri" w:cs="Calibri"/>
      <w:b/>
      <w:bCs/>
      <w:sz w:val="28"/>
      <w:szCs w:val="28"/>
    </w:rPr>
  </w:style>
  <w:style w:type="paragraph" w:styleId="5">
    <w:name w:val="heading 5"/>
    <w:basedOn w:val="a0"/>
    <w:next w:val="a0"/>
    <w:link w:val="50"/>
    <w:uiPriority w:val="99"/>
    <w:qFormat/>
    <w:pPr>
      <w:keepNext/>
      <w:tabs>
        <w:tab w:val="num" w:pos="1008"/>
      </w:tabs>
      <w:ind w:left="1008" w:hanging="1008"/>
      <w:outlineLvl w:val="4"/>
    </w:pPr>
    <w:rPr>
      <w:rFonts w:ascii="Calibri" w:hAnsi="Calibri" w:cs="Calibri"/>
      <w:b/>
      <w:bCs/>
      <w:i/>
      <w:iCs/>
      <w:sz w:val="26"/>
      <w:szCs w:val="26"/>
    </w:rPr>
  </w:style>
  <w:style w:type="paragraph" w:styleId="6">
    <w:name w:val="heading 6"/>
    <w:basedOn w:val="a0"/>
    <w:next w:val="a0"/>
    <w:link w:val="60"/>
    <w:uiPriority w:val="99"/>
    <w:qFormat/>
    <w:pPr>
      <w:keepNext/>
      <w:tabs>
        <w:tab w:val="num" w:pos="1152"/>
      </w:tabs>
      <w:ind w:left="1152" w:hanging="1152"/>
      <w:jc w:val="right"/>
      <w:outlineLvl w:val="5"/>
    </w:pPr>
    <w:rPr>
      <w:rFonts w:ascii="Calibri" w:hAnsi="Calibri" w:cs="Calibri"/>
      <w:b/>
      <w:bCs/>
    </w:rPr>
  </w:style>
  <w:style w:type="paragraph" w:styleId="7">
    <w:name w:val="heading 7"/>
    <w:basedOn w:val="a0"/>
    <w:next w:val="a0"/>
    <w:link w:val="70"/>
    <w:uiPriority w:val="99"/>
    <w:qFormat/>
    <w:pPr>
      <w:keepNext/>
      <w:tabs>
        <w:tab w:val="num" w:pos="1296"/>
      </w:tabs>
      <w:ind w:left="1296" w:hanging="1296"/>
      <w:jc w:val="center"/>
      <w:outlineLvl w:val="6"/>
    </w:pPr>
    <w:rPr>
      <w:rFonts w:ascii="Calibri" w:hAnsi="Calibri" w:cs="Calibri"/>
      <w:sz w:val="24"/>
      <w:szCs w:val="24"/>
    </w:rPr>
  </w:style>
  <w:style w:type="paragraph" w:styleId="8">
    <w:name w:val="heading 8"/>
    <w:basedOn w:val="a0"/>
    <w:next w:val="a0"/>
    <w:link w:val="80"/>
    <w:uiPriority w:val="99"/>
    <w:qFormat/>
    <w:pPr>
      <w:widowControl/>
      <w:tabs>
        <w:tab w:val="num" w:pos="1440"/>
      </w:tabs>
      <w:autoSpaceDE/>
      <w:autoSpaceDN/>
      <w:adjustRightInd/>
      <w:spacing w:before="240" w:after="60"/>
      <w:ind w:left="1440" w:hanging="1440"/>
      <w:outlineLvl w:val="7"/>
    </w:pPr>
    <w:rPr>
      <w:rFonts w:ascii="Calibri" w:hAnsi="Calibri" w:cs="Calibri"/>
      <w:i/>
      <w:iCs/>
      <w:sz w:val="24"/>
      <w:szCs w:val="24"/>
    </w:rPr>
  </w:style>
  <w:style w:type="paragraph" w:styleId="9">
    <w:name w:val="heading 9"/>
    <w:basedOn w:val="a0"/>
    <w:next w:val="a0"/>
    <w:link w:val="90"/>
    <w:uiPriority w:val="99"/>
    <w:qFormat/>
    <w:pPr>
      <w:widowControl/>
      <w:tabs>
        <w:tab w:val="num" w:pos="1584"/>
      </w:tabs>
      <w:autoSpaceDE/>
      <w:autoSpaceDN/>
      <w:adjustRightInd/>
      <w:spacing w:before="240" w:after="60"/>
      <w:ind w:left="1584" w:hanging="1584"/>
      <w:outlineLvl w:val="8"/>
    </w:pPr>
    <w:rPr>
      <w:rFonts w:ascii="Cambria" w:hAnsi="Cambria" w:cs="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_стандарта Знак,Document Header1 Знак,H1 Знак,Введение... Знак,Б1 Знак,Heading 1iz Знак,Б11 Знак,Заголовок параграфа (1.) Знак,Headi... Знак,co Знак,Section Знак,Section Heading Знак,level2 hdg Знак,h1 Знак,app heading 1 Знак"/>
    <w:basedOn w:val="a1"/>
    <w:link w:val="1"/>
    <w:uiPriority w:val="99"/>
    <w:rPr>
      <w:rFonts w:ascii="Cambria" w:hAnsi="Cambria" w:cs="Cambria"/>
      <w:b/>
      <w:bCs/>
      <w:kern w:val="32"/>
      <w:sz w:val="32"/>
      <w:szCs w:val="32"/>
    </w:rPr>
  </w:style>
  <w:style w:type="character" w:customStyle="1" w:styleId="21">
    <w:name w:val="Заголовок 2 Знак1"/>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1"/>
    <w:link w:val="2"/>
    <w:uiPriority w:val="9"/>
    <w:semiHidden/>
    <w:rsid w:val="00AE3057"/>
    <w:rPr>
      <w:rFonts w:asciiTheme="majorHAnsi" w:eastAsiaTheme="majorEastAsia" w:hAnsiTheme="majorHAnsi" w:cstheme="majorBidi"/>
      <w:b/>
      <w:bCs/>
      <w:i/>
      <w:iCs/>
      <w:sz w:val="28"/>
      <w:szCs w:val="28"/>
    </w:rPr>
  </w:style>
  <w:style w:type="character" w:customStyle="1" w:styleId="30">
    <w:name w:val="Заголовок 3 Знак"/>
    <w:aliases w:val="H3 Знак,H31 Знак,Заголовок подпукта (1.1.1) Знак,Map Знак,h3 Знак,Level 3 Topic Heading Знак,Minor Знак,H32 Знак,H33 Знак,H34 Знак,H35 Знак,H36 Знак,H37 Знак,H38 Знак,H39 Знак,H310 Знак,H311 Знак,H312 Знак,H313 Знак,H314 Знак,3 Знак"/>
    <w:basedOn w:val="a1"/>
    <w:link w:val="3"/>
    <w:uiPriority w:val="99"/>
    <w:rPr>
      <w:rFonts w:ascii="Cambria" w:hAnsi="Cambria" w:cs="Cambria"/>
      <w:b/>
      <w:bCs/>
      <w:sz w:val="26"/>
      <w:szCs w:val="26"/>
    </w:rPr>
  </w:style>
  <w:style w:type="character" w:customStyle="1" w:styleId="40">
    <w:name w:val="Заголовок 4 Знак"/>
    <w:aliases w:val="H41 Знак"/>
    <w:basedOn w:val="a1"/>
    <w:link w:val="4"/>
    <w:uiPriority w:val="99"/>
    <w:rPr>
      <w:rFonts w:ascii="Calibri" w:hAnsi="Calibri" w:cs="Calibri"/>
      <w:b/>
      <w:bCs/>
      <w:sz w:val="28"/>
      <w:szCs w:val="28"/>
    </w:rPr>
  </w:style>
  <w:style w:type="character" w:customStyle="1" w:styleId="50">
    <w:name w:val="Заголовок 5 Знак"/>
    <w:basedOn w:val="a1"/>
    <w:link w:val="5"/>
    <w:uiPriority w:val="99"/>
    <w:rPr>
      <w:rFonts w:ascii="Calibri" w:hAnsi="Calibri" w:cs="Calibri"/>
      <w:b/>
      <w:bCs/>
      <w:i/>
      <w:iCs/>
      <w:sz w:val="26"/>
      <w:szCs w:val="26"/>
    </w:rPr>
  </w:style>
  <w:style w:type="character" w:customStyle="1" w:styleId="60">
    <w:name w:val="Заголовок 6 Знак"/>
    <w:basedOn w:val="a1"/>
    <w:link w:val="6"/>
    <w:uiPriority w:val="99"/>
    <w:rPr>
      <w:rFonts w:ascii="Calibri" w:hAnsi="Calibri" w:cs="Calibri"/>
      <w:b/>
      <w:bCs/>
    </w:rPr>
  </w:style>
  <w:style w:type="character" w:customStyle="1" w:styleId="70">
    <w:name w:val="Заголовок 7 Знак"/>
    <w:basedOn w:val="a1"/>
    <w:link w:val="7"/>
    <w:uiPriority w:val="99"/>
    <w:rPr>
      <w:rFonts w:ascii="Calibri" w:hAnsi="Calibri" w:cs="Calibri"/>
      <w:sz w:val="24"/>
      <w:szCs w:val="24"/>
    </w:rPr>
  </w:style>
  <w:style w:type="character" w:customStyle="1" w:styleId="80">
    <w:name w:val="Заголовок 8 Знак"/>
    <w:basedOn w:val="a1"/>
    <w:link w:val="8"/>
    <w:uiPriority w:val="99"/>
    <w:rPr>
      <w:rFonts w:ascii="Calibri" w:hAnsi="Calibri" w:cs="Calibri"/>
      <w:i/>
      <w:iCs/>
      <w:sz w:val="24"/>
      <w:szCs w:val="24"/>
    </w:rPr>
  </w:style>
  <w:style w:type="character" w:customStyle="1" w:styleId="90">
    <w:name w:val="Заголовок 9 Знак"/>
    <w:basedOn w:val="a1"/>
    <w:link w:val="9"/>
    <w:uiPriority w:val="99"/>
    <w:rPr>
      <w:rFonts w:ascii="Cambria" w:hAnsi="Cambria" w:cs="Cambria"/>
    </w:rPr>
  </w:style>
  <w:style w:type="character" w:customStyle="1" w:styleId="Heading2Char6">
    <w:name w:val="Heading 2 Char6"/>
    <w:aliases w:val="H2 Char6,2 Char6,h2 Char6,Б2 Char6,RTC Char6,iz2 Char6,H2 Знак Char6,Заголовок 21 Char6,Numbered text 3 Char6,HD2 Char6,Heading 2 Hidden Char6,Раздел Знак Char6,Level 2 Topic Heading Char6,H21 Char6,Major Char6,CHS Char6,l2 Char5,22 Cha"/>
    <w:uiPriority w:val="99"/>
    <w:rPr>
      <w:rFonts w:ascii="Cambria" w:hAnsi="Cambria" w:cs="Cambria"/>
      <w:b/>
      <w:bCs/>
      <w:i/>
      <w:iCs/>
      <w:sz w:val="28"/>
      <w:szCs w:val="28"/>
    </w:rPr>
  </w:style>
  <w:style w:type="character" w:customStyle="1" w:styleId="Heading2Char5">
    <w:name w:val="Heading 2 Char5"/>
    <w:aliases w:val="H2 Char5,2 Char5,h2 Char5,Б2 Char5,RTC Char5,iz2 Char5,H2 Знак Char5,Заголовок 21 Char5,Numbered text 3 Char5,HD2 Char5,Heading 2 Hidden Char5,Раздел Знак Char5,Level 2 Topic Heading Char5,H21 Char5,Major Char5,CHS Char5,l2 Char4,22 Cha4"/>
    <w:uiPriority w:val="99"/>
    <w:rPr>
      <w:rFonts w:ascii="Cambria" w:hAnsi="Cambria" w:cs="Cambria"/>
      <w:b/>
      <w:bCs/>
      <w:i/>
      <w:iCs/>
      <w:sz w:val="28"/>
      <w:szCs w:val="28"/>
    </w:rPr>
  </w:style>
  <w:style w:type="character" w:customStyle="1" w:styleId="Heading2Char4">
    <w:name w:val="Heading 2 Char4"/>
    <w:aliases w:val="H2 Char4,2 Char4,h2 Char4,Б2 Char4,RTC Char4,iz2 Char4,H2 Знак Char4,Заголовок 21 Char4,Numbered text 3 Char4,HD2 Char4,Heading 2 Hidden Char4,Раздел Знак Char4,Level 2 Topic Heading Char4,H21 Char4,Major Char4,CHS Char4,l2 Char3,22 Cha3"/>
    <w:uiPriority w:val="99"/>
    <w:rPr>
      <w:rFonts w:ascii="Cambria" w:hAnsi="Cambria" w:cs="Cambria"/>
      <w:b/>
      <w:bCs/>
      <w:i/>
      <w:iCs/>
      <w:sz w:val="28"/>
      <w:szCs w:val="28"/>
    </w:rPr>
  </w:style>
  <w:style w:type="character" w:customStyle="1" w:styleId="Heading2Char3">
    <w:name w:val="Heading 2 Char3"/>
    <w:aliases w:val="H2 Char3,2 Char3,h2 Char3,Б2 Char3,RTC Char3,iz2 Char3,H2 Знак Char3,Заголовок 21 Char3,Numbered text 3 Char3,HD2 Char3,Heading 2 Hidden Char3,Раздел Знак Char3,Level 2 Topic Heading Char3,H21 Char3,Major Char3,CHS Char3,l2 Char2,22 Cha2"/>
    <w:uiPriority w:val="99"/>
    <w:rPr>
      <w:rFonts w:ascii="Cambria" w:hAnsi="Cambria" w:cs="Cambria"/>
      <w:b/>
      <w:bCs/>
      <w:i/>
      <w:iCs/>
      <w:sz w:val="28"/>
      <w:szCs w:val="28"/>
    </w:rPr>
  </w:style>
  <w:style w:type="character" w:customStyle="1" w:styleId="Heading2Char2">
    <w:name w:val="Heading 2 Char2"/>
    <w:aliases w:val="H2 Char2,2 Char2,h2 Char2,Б2 Char2,RTC Char2,iz2 Char2,H2 Знак Char2,Заголовок 21 Char2,Numbered text 3 Char2,HD2 Char2,Heading 2 Hidden Char2,Раздел Знак Char2,Level 2 Topic Heading Char2,H21 Char2,Major Char2,CHS Char2,l2 Char1,22 Cha1"/>
    <w:uiPriority w:val="99"/>
    <w:rPr>
      <w:rFonts w:ascii="Cambria" w:hAnsi="Cambria" w:cs="Cambria"/>
      <w:b/>
      <w:bCs/>
      <w:i/>
      <w:iCs/>
      <w:sz w:val="28"/>
      <w:szCs w:val="28"/>
    </w:rPr>
  </w:style>
  <w:style w:type="character" w:customStyle="1" w:styleId="Heading1Char1">
    <w:name w:val="Heading 1 Char1"/>
    <w:aliases w:val="Заголовок 1_стандарта Char1,Document Header1 Char1,H1 Char1,Введение... Char1,Б1 Char1,Heading 1iz Char1,Б11 Char1,Заголовок параграфа (1.) Char1,Headi... Char1,co Char1,heading 1 Char,Section Char1,Section Heading Char1,level2 hdg Char1"/>
    <w:uiPriority w:val="99"/>
    <w:rPr>
      <w:b/>
      <w:bCs/>
      <w:color w:val="000000"/>
      <w:spacing w:val="-3"/>
      <w:sz w:val="32"/>
      <w:szCs w:val="32"/>
      <w:shd w:val="clear" w:color="auto" w:fill="FFFFFF"/>
    </w:rPr>
  </w:style>
  <w:style w:type="character" w:customStyle="1" w:styleId="20">
    <w:name w:val="Заголовок 2 Знак"/>
    <w:uiPriority w:val="99"/>
    <w:rPr>
      <w:rFonts w:ascii="Cambria" w:hAnsi="Cambria" w:cs="Cambria"/>
      <w:b/>
      <w:bCs/>
      <w:color w:val="auto"/>
      <w:sz w:val="26"/>
      <w:szCs w:val="26"/>
    </w:rPr>
  </w:style>
  <w:style w:type="character" w:customStyle="1" w:styleId="Heading2Char1">
    <w:name w:val="Heading 2 Char1"/>
    <w:aliases w:val="H2 Char1,2 Char1,h2 Char1,Б2 Char1,RTC Char1,iz2 Char1,H2 Знак Char1,Заголовок 21 Char1,Numbered text 3 Char1,HD2 Char1,heading 2 Char,Heading 2 Hidden Char1,Раздел Знак Char1,Level 2 Topic Heading Char1,H21 Char1,Major Char1,CHS Char1"/>
    <w:uiPriority w:val="99"/>
    <w:rPr>
      <w:sz w:val="28"/>
      <w:szCs w:val="28"/>
    </w:rPr>
  </w:style>
  <w:style w:type="paragraph" w:styleId="a4">
    <w:name w:val="Title"/>
    <w:basedOn w:val="a0"/>
    <w:link w:val="a5"/>
    <w:uiPriority w:val="99"/>
    <w:qFormat/>
    <w:pPr>
      <w:widowControl/>
      <w:autoSpaceDE/>
      <w:autoSpaceDN/>
      <w:adjustRightInd/>
      <w:jc w:val="center"/>
    </w:pPr>
    <w:rPr>
      <w:rFonts w:ascii="Cambria" w:hAnsi="Cambria" w:cs="Cambria"/>
      <w:b/>
      <w:bCs/>
      <w:kern w:val="28"/>
      <w:sz w:val="32"/>
      <w:szCs w:val="32"/>
    </w:rPr>
  </w:style>
  <w:style w:type="character" w:customStyle="1" w:styleId="a5">
    <w:name w:val="Название Знак"/>
    <w:basedOn w:val="a1"/>
    <w:link w:val="a4"/>
    <w:uiPriority w:val="99"/>
    <w:rPr>
      <w:rFonts w:ascii="Cambria" w:hAnsi="Cambria" w:cs="Cambria"/>
      <w:b/>
      <w:bCs/>
      <w:kern w:val="28"/>
      <w:sz w:val="32"/>
      <w:szCs w:val="32"/>
    </w:rPr>
  </w:style>
  <w:style w:type="paragraph" w:styleId="a6">
    <w:name w:val="No Spacing"/>
    <w:basedOn w:val="a7"/>
    <w:uiPriority w:val="99"/>
    <w:qFormat/>
    <w:rPr>
      <w:sz w:val="22"/>
      <w:szCs w:val="22"/>
    </w:rPr>
  </w:style>
  <w:style w:type="paragraph" w:styleId="a7">
    <w:name w:val="annotation text"/>
    <w:basedOn w:val="a0"/>
    <w:link w:val="a8"/>
    <w:uiPriority w:val="99"/>
  </w:style>
  <w:style w:type="character" w:customStyle="1" w:styleId="a8">
    <w:name w:val="Текст примечания Знак"/>
    <w:basedOn w:val="a1"/>
    <w:link w:val="a7"/>
    <w:uiPriority w:val="99"/>
    <w:rPr>
      <w:rFonts w:ascii="Times New Roman" w:hAnsi="Times New Roman" w:cs="Times New Roman"/>
      <w:sz w:val="20"/>
      <w:szCs w:val="20"/>
    </w:rPr>
  </w:style>
  <w:style w:type="paragraph" w:styleId="a9">
    <w:name w:val="List Paragraph"/>
    <w:basedOn w:val="a0"/>
    <w:uiPriority w:val="99"/>
    <w:qFormat/>
    <w:pPr>
      <w:ind w:left="708"/>
    </w:pPr>
  </w:style>
  <w:style w:type="paragraph" w:styleId="aa">
    <w:name w:val="Body Text"/>
    <w:basedOn w:val="a0"/>
    <w:link w:val="ab"/>
    <w:uiPriority w:val="99"/>
    <w:pPr>
      <w:widowControl/>
      <w:autoSpaceDE/>
      <w:autoSpaceDN/>
      <w:adjustRightInd/>
      <w:spacing w:after="120"/>
    </w:pPr>
    <w:rPr>
      <w:sz w:val="24"/>
      <w:szCs w:val="24"/>
    </w:rPr>
  </w:style>
  <w:style w:type="character" w:customStyle="1" w:styleId="ab">
    <w:name w:val="Основной текст Знак"/>
    <w:basedOn w:val="a1"/>
    <w:link w:val="aa"/>
    <w:uiPriority w:val="99"/>
    <w:rPr>
      <w:rFonts w:ascii="Times New Roman" w:hAnsi="Times New Roman" w:cs="Times New Roman"/>
      <w:sz w:val="24"/>
      <w:szCs w:val="24"/>
    </w:rPr>
  </w:style>
  <w:style w:type="paragraph" w:styleId="ac">
    <w:name w:val="Plain Text"/>
    <w:basedOn w:val="a0"/>
    <w:link w:val="ad"/>
    <w:uiPriority w:val="99"/>
    <w:pPr>
      <w:widowControl/>
      <w:autoSpaceDE/>
      <w:autoSpaceDN/>
      <w:adjustRightInd/>
    </w:pPr>
    <w:rPr>
      <w:rFonts w:ascii="Calibri" w:hAnsi="Calibri" w:cs="Calibri"/>
      <w:sz w:val="22"/>
      <w:szCs w:val="22"/>
      <w:lang w:eastAsia="en-US"/>
    </w:rPr>
  </w:style>
  <w:style w:type="character" w:customStyle="1" w:styleId="ad">
    <w:name w:val="Текст Знак"/>
    <w:basedOn w:val="a1"/>
    <w:link w:val="ac"/>
    <w:uiPriority w:val="99"/>
    <w:rPr>
      <w:rFonts w:ascii="Calibri" w:hAnsi="Calibri" w:cs="Calibri"/>
      <w:sz w:val="21"/>
      <w:szCs w:val="21"/>
      <w:lang w:eastAsia="en-US"/>
    </w:rPr>
  </w:style>
  <w:style w:type="character" w:customStyle="1" w:styleId="11">
    <w:name w:val="Пункт Знак1"/>
    <w:uiPriority w:val="99"/>
  </w:style>
  <w:style w:type="paragraph" w:customStyle="1" w:styleId="ae">
    <w:name w:val="Пункт"/>
    <w:basedOn w:val="a0"/>
    <w:uiPriority w:val="99"/>
    <w:pPr>
      <w:widowControl/>
      <w:tabs>
        <w:tab w:val="num" w:pos="1134"/>
      </w:tabs>
      <w:autoSpaceDE/>
      <w:autoSpaceDN/>
      <w:adjustRightInd/>
      <w:snapToGrid w:val="0"/>
      <w:spacing w:line="360" w:lineRule="auto"/>
      <w:ind w:left="1134" w:hanging="1134"/>
      <w:jc w:val="both"/>
    </w:pPr>
  </w:style>
  <w:style w:type="paragraph" w:customStyle="1" w:styleId="af">
    <w:name w:val="Подпункт"/>
    <w:basedOn w:val="ae"/>
    <w:uiPriority w:val="99"/>
    <w:pPr>
      <w:tabs>
        <w:tab w:val="num" w:pos="643"/>
      </w:tabs>
      <w:ind w:left="643" w:hanging="360"/>
    </w:pPr>
  </w:style>
  <w:style w:type="character" w:customStyle="1" w:styleId="af0">
    <w:name w:val="Подподпункт Знак"/>
    <w:uiPriority w:val="99"/>
  </w:style>
  <w:style w:type="paragraph" w:customStyle="1" w:styleId="a">
    <w:name w:val="Подподпункт"/>
    <w:basedOn w:val="af"/>
    <w:uiPriority w:val="99"/>
    <w:pPr>
      <w:numPr>
        <w:numId w:val="11"/>
      </w:numPr>
    </w:pPr>
  </w:style>
  <w:style w:type="paragraph" w:customStyle="1" w:styleId="Times12">
    <w:name w:val="Times 12"/>
    <w:basedOn w:val="a0"/>
    <w:uiPriority w:val="99"/>
    <w:pPr>
      <w:widowControl/>
      <w:overflowPunct w:val="0"/>
      <w:ind w:firstLine="567"/>
      <w:jc w:val="both"/>
    </w:pPr>
    <w:rPr>
      <w:sz w:val="24"/>
      <w:szCs w:val="24"/>
    </w:rPr>
  </w:style>
  <w:style w:type="character" w:styleId="af1">
    <w:name w:val="annotation reference"/>
    <w:basedOn w:val="a1"/>
    <w:uiPriority w:val="99"/>
    <w:rPr>
      <w:rFonts w:ascii="Times New Roman" w:hAnsi="Times New Roman" w:cs="Times New Roman"/>
      <w:sz w:val="16"/>
      <w:szCs w:val="16"/>
    </w:rPr>
  </w:style>
  <w:style w:type="paragraph" w:styleId="af2">
    <w:name w:val="annotation subject"/>
    <w:basedOn w:val="a7"/>
    <w:next w:val="a7"/>
    <w:link w:val="af3"/>
    <w:uiPriority w:val="99"/>
    <w:rPr>
      <w:b/>
      <w:bCs/>
    </w:rPr>
  </w:style>
  <w:style w:type="character" w:customStyle="1" w:styleId="af3">
    <w:name w:val="Тема примечания Знак"/>
    <w:basedOn w:val="a8"/>
    <w:link w:val="af2"/>
    <w:uiPriority w:val="99"/>
    <w:rPr>
      <w:rFonts w:ascii="Arial" w:hAnsi="Arial" w:cs="Arial"/>
      <w:b/>
      <w:bCs/>
      <w:sz w:val="20"/>
      <w:szCs w:val="20"/>
    </w:rPr>
  </w:style>
  <w:style w:type="paragraph" w:styleId="af4">
    <w:name w:val="Balloon Text"/>
    <w:basedOn w:val="a0"/>
    <w:link w:val="12"/>
    <w:uiPriority w:val="99"/>
    <w:rPr>
      <w:rFonts w:ascii="Tahoma" w:hAnsi="Tahoma" w:cs="Tahoma"/>
      <w:sz w:val="16"/>
      <w:szCs w:val="16"/>
    </w:rPr>
  </w:style>
  <w:style w:type="character" w:customStyle="1" w:styleId="12">
    <w:name w:val="Текст выноски Знак1"/>
    <w:basedOn w:val="a1"/>
    <w:link w:val="af4"/>
    <w:uiPriority w:val="99"/>
    <w:rPr>
      <w:rFonts w:ascii="Tahoma" w:hAnsi="Tahoma" w:cs="Tahoma"/>
      <w:sz w:val="16"/>
      <w:szCs w:val="16"/>
    </w:rPr>
  </w:style>
  <w:style w:type="character" w:styleId="af5">
    <w:name w:val="Hyperlink"/>
    <w:basedOn w:val="a1"/>
    <w:uiPriority w:val="99"/>
    <w:rPr>
      <w:rFonts w:ascii="Times New Roman" w:hAnsi="Times New Roman" w:cs="Times New Roman"/>
      <w:color w:val="0000FF"/>
      <w:u w:val="single"/>
    </w:rPr>
  </w:style>
  <w:style w:type="paragraph" w:styleId="22">
    <w:name w:val="Body Text 2"/>
    <w:basedOn w:val="a0"/>
    <w:link w:val="23"/>
    <w:uiPriority w:val="99"/>
    <w:pPr>
      <w:jc w:val="both"/>
    </w:pPr>
  </w:style>
  <w:style w:type="character" w:customStyle="1" w:styleId="23">
    <w:name w:val="Основной текст 2 Знак"/>
    <w:basedOn w:val="a1"/>
    <w:link w:val="22"/>
    <w:uiPriority w:val="99"/>
    <w:rPr>
      <w:rFonts w:ascii="Arial" w:hAnsi="Arial" w:cs="Arial"/>
      <w:sz w:val="20"/>
      <w:szCs w:val="20"/>
    </w:rPr>
  </w:style>
  <w:style w:type="paragraph" w:customStyle="1" w:styleId="13">
    <w:name w:val="Текст выноски1"/>
    <w:basedOn w:val="a0"/>
    <w:uiPriority w:val="99"/>
    <w:rPr>
      <w:rFonts w:ascii="Tahoma" w:hAnsi="Tahoma" w:cs="Tahoma"/>
      <w:sz w:val="16"/>
      <w:szCs w:val="16"/>
    </w:rPr>
  </w:style>
  <w:style w:type="character" w:customStyle="1" w:styleId="af6">
    <w:name w:val="Текст выноски Знак"/>
    <w:uiPriority w:val="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caption" w:uiPriority="35" w:qFormat="1"/>
    <w:lsdException w:name="annotation reference"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Plain Text"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autoSpaceDE w:val="0"/>
      <w:autoSpaceDN w:val="0"/>
      <w:adjustRightInd w:val="0"/>
    </w:pPr>
    <w:rPr>
      <w:rFonts w:ascii="Arial" w:hAnsi="Arial" w:cs="Arial"/>
      <w:sz w:val="20"/>
      <w:szCs w:val="20"/>
    </w:rPr>
  </w:style>
  <w:style w:type="paragraph" w:styleId="1">
    <w:name w:val="heading 1"/>
    <w:aliases w:val="Заголовок 1_стандарта,Document Header1,H1,Введение...,Б1,Heading 1iz,Б11,Заголовок параграфа (1.),Headi...,co,Section,Section Heading,level2 hdg,h1,Level 1 Topic Heading,app heading 1,ITT t1,II+,I,H11,H12,H13,H14,H15,H16,H17,H18"/>
    <w:basedOn w:val="a0"/>
    <w:next w:val="a0"/>
    <w:link w:val="10"/>
    <w:uiPriority w:val="99"/>
    <w:qFormat/>
    <w:pPr>
      <w:keepNext/>
      <w:shd w:val="clear" w:color="auto" w:fill="FFFFFF"/>
      <w:tabs>
        <w:tab w:val="num" w:pos="432"/>
      </w:tabs>
      <w:spacing w:before="744" w:line="370" w:lineRule="exact"/>
      <w:ind w:left="432" w:hanging="432"/>
      <w:jc w:val="right"/>
      <w:outlineLvl w:val="0"/>
    </w:pPr>
    <w:rPr>
      <w:b/>
      <w:bCs/>
      <w:color w:val="000000"/>
      <w:spacing w:val="-3"/>
      <w:sz w:val="32"/>
      <w:szCs w:val="32"/>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h21,5,Заголовок 22,H22,h22"/>
    <w:basedOn w:val="a0"/>
    <w:next w:val="a0"/>
    <w:link w:val="21"/>
    <w:uiPriority w:val="99"/>
    <w:qFormat/>
    <w:pPr>
      <w:keepNext/>
      <w:tabs>
        <w:tab w:val="num" w:pos="1011"/>
      </w:tabs>
      <w:ind w:firstLine="720"/>
      <w:outlineLvl w:val="1"/>
    </w:pPr>
    <w:rPr>
      <w:sz w:val="28"/>
      <w:szCs w:val="28"/>
    </w:rPr>
  </w:style>
  <w:style w:type="paragraph" w:styleId="3">
    <w:name w:val="heading 3"/>
    <w:aliases w:val="H3,H31,Заголовок подпукта (1.1.1),Map,h3,Level 3 Topic Heading,Minor,H32,H33,H34,H35,H36,H37,H38,H39,H310,H311,H312,H313,H314,3,Level 1 - 1,h31,h32,h33,h34,h35,h36,h37,h38,h39,h310,h311,h321,h331,h341,h351,h361,h371,h381,h312,h322,h332,h342"/>
    <w:basedOn w:val="a0"/>
    <w:next w:val="a0"/>
    <w:link w:val="30"/>
    <w:uiPriority w:val="99"/>
    <w:qFormat/>
    <w:pPr>
      <w:keepNext/>
      <w:jc w:val="both"/>
      <w:outlineLvl w:val="2"/>
    </w:pPr>
    <w:rPr>
      <w:rFonts w:ascii="Cambria" w:hAnsi="Cambria" w:cs="Cambria"/>
      <w:b/>
      <w:bCs/>
      <w:sz w:val="26"/>
      <w:szCs w:val="26"/>
    </w:rPr>
  </w:style>
  <w:style w:type="paragraph" w:styleId="4">
    <w:name w:val="heading 4"/>
    <w:aliases w:val="H41"/>
    <w:basedOn w:val="a0"/>
    <w:next w:val="a0"/>
    <w:link w:val="40"/>
    <w:uiPriority w:val="99"/>
    <w:qFormat/>
    <w:pPr>
      <w:keepNext/>
      <w:ind w:firstLine="709"/>
      <w:jc w:val="center"/>
      <w:outlineLvl w:val="3"/>
    </w:pPr>
    <w:rPr>
      <w:rFonts w:ascii="Calibri" w:hAnsi="Calibri" w:cs="Calibri"/>
      <w:b/>
      <w:bCs/>
      <w:sz w:val="28"/>
      <w:szCs w:val="28"/>
    </w:rPr>
  </w:style>
  <w:style w:type="paragraph" w:styleId="5">
    <w:name w:val="heading 5"/>
    <w:basedOn w:val="a0"/>
    <w:next w:val="a0"/>
    <w:link w:val="50"/>
    <w:uiPriority w:val="99"/>
    <w:qFormat/>
    <w:pPr>
      <w:keepNext/>
      <w:tabs>
        <w:tab w:val="num" w:pos="1008"/>
      </w:tabs>
      <w:ind w:left="1008" w:hanging="1008"/>
      <w:outlineLvl w:val="4"/>
    </w:pPr>
    <w:rPr>
      <w:rFonts w:ascii="Calibri" w:hAnsi="Calibri" w:cs="Calibri"/>
      <w:b/>
      <w:bCs/>
      <w:i/>
      <w:iCs/>
      <w:sz w:val="26"/>
      <w:szCs w:val="26"/>
    </w:rPr>
  </w:style>
  <w:style w:type="paragraph" w:styleId="6">
    <w:name w:val="heading 6"/>
    <w:basedOn w:val="a0"/>
    <w:next w:val="a0"/>
    <w:link w:val="60"/>
    <w:uiPriority w:val="99"/>
    <w:qFormat/>
    <w:pPr>
      <w:keepNext/>
      <w:tabs>
        <w:tab w:val="num" w:pos="1152"/>
      </w:tabs>
      <w:ind w:left="1152" w:hanging="1152"/>
      <w:jc w:val="right"/>
      <w:outlineLvl w:val="5"/>
    </w:pPr>
    <w:rPr>
      <w:rFonts w:ascii="Calibri" w:hAnsi="Calibri" w:cs="Calibri"/>
      <w:b/>
      <w:bCs/>
    </w:rPr>
  </w:style>
  <w:style w:type="paragraph" w:styleId="7">
    <w:name w:val="heading 7"/>
    <w:basedOn w:val="a0"/>
    <w:next w:val="a0"/>
    <w:link w:val="70"/>
    <w:uiPriority w:val="99"/>
    <w:qFormat/>
    <w:pPr>
      <w:keepNext/>
      <w:tabs>
        <w:tab w:val="num" w:pos="1296"/>
      </w:tabs>
      <w:ind w:left="1296" w:hanging="1296"/>
      <w:jc w:val="center"/>
      <w:outlineLvl w:val="6"/>
    </w:pPr>
    <w:rPr>
      <w:rFonts w:ascii="Calibri" w:hAnsi="Calibri" w:cs="Calibri"/>
      <w:sz w:val="24"/>
      <w:szCs w:val="24"/>
    </w:rPr>
  </w:style>
  <w:style w:type="paragraph" w:styleId="8">
    <w:name w:val="heading 8"/>
    <w:basedOn w:val="a0"/>
    <w:next w:val="a0"/>
    <w:link w:val="80"/>
    <w:uiPriority w:val="99"/>
    <w:qFormat/>
    <w:pPr>
      <w:widowControl/>
      <w:tabs>
        <w:tab w:val="num" w:pos="1440"/>
      </w:tabs>
      <w:autoSpaceDE/>
      <w:autoSpaceDN/>
      <w:adjustRightInd/>
      <w:spacing w:before="240" w:after="60"/>
      <w:ind w:left="1440" w:hanging="1440"/>
      <w:outlineLvl w:val="7"/>
    </w:pPr>
    <w:rPr>
      <w:rFonts w:ascii="Calibri" w:hAnsi="Calibri" w:cs="Calibri"/>
      <w:i/>
      <w:iCs/>
      <w:sz w:val="24"/>
      <w:szCs w:val="24"/>
    </w:rPr>
  </w:style>
  <w:style w:type="paragraph" w:styleId="9">
    <w:name w:val="heading 9"/>
    <w:basedOn w:val="a0"/>
    <w:next w:val="a0"/>
    <w:link w:val="90"/>
    <w:uiPriority w:val="99"/>
    <w:qFormat/>
    <w:pPr>
      <w:widowControl/>
      <w:tabs>
        <w:tab w:val="num" w:pos="1584"/>
      </w:tabs>
      <w:autoSpaceDE/>
      <w:autoSpaceDN/>
      <w:adjustRightInd/>
      <w:spacing w:before="240" w:after="60"/>
      <w:ind w:left="1584" w:hanging="1584"/>
      <w:outlineLvl w:val="8"/>
    </w:pPr>
    <w:rPr>
      <w:rFonts w:ascii="Cambria" w:hAnsi="Cambria" w:cs="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_стандарта Знак,Document Header1 Знак,H1 Знак,Введение... Знак,Б1 Знак,Heading 1iz Знак,Б11 Знак,Заголовок параграфа (1.) Знак,Headi... Знак,co Знак,Section Знак,Section Heading Знак,level2 hdg Знак,h1 Знак,app heading 1 Знак"/>
    <w:basedOn w:val="a1"/>
    <w:link w:val="1"/>
    <w:uiPriority w:val="99"/>
    <w:rPr>
      <w:rFonts w:ascii="Cambria" w:hAnsi="Cambria" w:cs="Cambria"/>
      <w:b/>
      <w:bCs/>
      <w:kern w:val="32"/>
      <w:sz w:val="32"/>
      <w:szCs w:val="32"/>
    </w:rPr>
  </w:style>
  <w:style w:type="character" w:customStyle="1" w:styleId="21">
    <w:name w:val="Заголовок 2 Знак1"/>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1"/>
    <w:link w:val="2"/>
    <w:uiPriority w:val="9"/>
    <w:semiHidden/>
    <w:rsid w:val="00AE3057"/>
    <w:rPr>
      <w:rFonts w:asciiTheme="majorHAnsi" w:eastAsiaTheme="majorEastAsia" w:hAnsiTheme="majorHAnsi" w:cstheme="majorBidi"/>
      <w:b/>
      <w:bCs/>
      <w:i/>
      <w:iCs/>
      <w:sz w:val="28"/>
      <w:szCs w:val="28"/>
    </w:rPr>
  </w:style>
  <w:style w:type="character" w:customStyle="1" w:styleId="30">
    <w:name w:val="Заголовок 3 Знак"/>
    <w:aliases w:val="H3 Знак,H31 Знак,Заголовок подпукта (1.1.1) Знак,Map Знак,h3 Знак,Level 3 Topic Heading Знак,Minor Знак,H32 Знак,H33 Знак,H34 Знак,H35 Знак,H36 Знак,H37 Знак,H38 Знак,H39 Знак,H310 Знак,H311 Знак,H312 Знак,H313 Знак,H314 Знак,3 Знак"/>
    <w:basedOn w:val="a1"/>
    <w:link w:val="3"/>
    <w:uiPriority w:val="99"/>
    <w:rPr>
      <w:rFonts w:ascii="Cambria" w:hAnsi="Cambria" w:cs="Cambria"/>
      <w:b/>
      <w:bCs/>
      <w:sz w:val="26"/>
      <w:szCs w:val="26"/>
    </w:rPr>
  </w:style>
  <w:style w:type="character" w:customStyle="1" w:styleId="40">
    <w:name w:val="Заголовок 4 Знак"/>
    <w:aliases w:val="H41 Знак"/>
    <w:basedOn w:val="a1"/>
    <w:link w:val="4"/>
    <w:uiPriority w:val="99"/>
    <w:rPr>
      <w:rFonts w:ascii="Calibri" w:hAnsi="Calibri" w:cs="Calibri"/>
      <w:b/>
      <w:bCs/>
      <w:sz w:val="28"/>
      <w:szCs w:val="28"/>
    </w:rPr>
  </w:style>
  <w:style w:type="character" w:customStyle="1" w:styleId="50">
    <w:name w:val="Заголовок 5 Знак"/>
    <w:basedOn w:val="a1"/>
    <w:link w:val="5"/>
    <w:uiPriority w:val="99"/>
    <w:rPr>
      <w:rFonts w:ascii="Calibri" w:hAnsi="Calibri" w:cs="Calibri"/>
      <w:b/>
      <w:bCs/>
      <w:i/>
      <w:iCs/>
      <w:sz w:val="26"/>
      <w:szCs w:val="26"/>
    </w:rPr>
  </w:style>
  <w:style w:type="character" w:customStyle="1" w:styleId="60">
    <w:name w:val="Заголовок 6 Знак"/>
    <w:basedOn w:val="a1"/>
    <w:link w:val="6"/>
    <w:uiPriority w:val="99"/>
    <w:rPr>
      <w:rFonts w:ascii="Calibri" w:hAnsi="Calibri" w:cs="Calibri"/>
      <w:b/>
      <w:bCs/>
    </w:rPr>
  </w:style>
  <w:style w:type="character" w:customStyle="1" w:styleId="70">
    <w:name w:val="Заголовок 7 Знак"/>
    <w:basedOn w:val="a1"/>
    <w:link w:val="7"/>
    <w:uiPriority w:val="99"/>
    <w:rPr>
      <w:rFonts w:ascii="Calibri" w:hAnsi="Calibri" w:cs="Calibri"/>
      <w:sz w:val="24"/>
      <w:szCs w:val="24"/>
    </w:rPr>
  </w:style>
  <w:style w:type="character" w:customStyle="1" w:styleId="80">
    <w:name w:val="Заголовок 8 Знак"/>
    <w:basedOn w:val="a1"/>
    <w:link w:val="8"/>
    <w:uiPriority w:val="99"/>
    <w:rPr>
      <w:rFonts w:ascii="Calibri" w:hAnsi="Calibri" w:cs="Calibri"/>
      <w:i/>
      <w:iCs/>
      <w:sz w:val="24"/>
      <w:szCs w:val="24"/>
    </w:rPr>
  </w:style>
  <w:style w:type="character" w:customStyle="1" w:styleId="90">
    <w:name w:val="Заголовок 9 Знак"/>
    <w:basedOn w:val="a1"/>
    <w:link w:val="9"/>
    <w:uiPriority w:val="99"/>
    <w:rPr>
      <w:rFonts w:ascii="Cambria" w:hAnsi="Cambria" w:cs="Cambria"/>
    </w:rPr>
  </w:style>
  <w:style w:type="character" w:customStyle="1" w:styleId="Heading2Char6">
    <w:name w:val="Heading 2 Char6"/>
    <w:aliases w:val="H2 Char6,2 Char6,h2 Char6,Б2 Char6,RTC Char6,iz2 Char6,H2 Знак Char6,Заголовок 21 Char6,Numbered text 3 Char6,HD2 Char6,Heading 2 Hidden Char6,Раздел Знак Char6,Level 2 Topic Heading Char6,H21 Char6,Major Char6,CHS Char6,l2 Char5,22 Cha"/>
    <w:uiPriority w:val="99"/>
    <w:rPr>
      <w:rFonts w:ascii="Cambria" w:hAnsi="Cambria" w:cs="Cambria"/>
      <w:b/>
      <w:bCs/>
      <w:i/>
      <w:iCs/>
      <w:sz w:val="28"/>
      <w:szCs w:val="28"/>
    </w:rPr>
  </w:style>
  <w:style w:type="character" w:customStyle="1" w:styleId="Heading2Char5">
    <w:name w:val="Heading 2 Char5"/>
    <w:aliases w:val="H2 Char5,2 Char5,h2 Char5,Б2 Char5,RTC Char5,iz2 Char5,H2 Знак Char5,Заголовок 21 Char5,Numbered text 3 Char5,HD2 Char5,Heading 2 Hidden Char5,Раздел Знак Char5,Level 2 Topic Heading Char5,H21 Char5,Major Char5,CHS Char5,l2 Char4,22 Cha4"/>
    <w:uiPriority w:val="99"/>
    <w:rPr>
      <w:rFonts w:ascii="Cambria" w:hAnsi="Cambria" w:cs="Cambria"/>
      <w:b/>
      <w:bCs/>
      <w:i/>
      <w:iCs/>
      <w:sz w:val="28"/>
      <w:szCs w:val="28"/>
    </w:rPr>
  </w:style>
  <w:style w:type="character" w:customStyle="1" w:styleId="Heading2Char4">
    <w:name w:val="Heading 2 Char4"/>
    <w:aliases w:val="H2 Char4,2 Char4,h2 Char4,Б2 Char4,RTC Char4,iz2 Char4,H2 Знак Char4,Заголовок 21 Char4,Numbered text 3 Char4,HD2 Char4,Heading 2 Hidden Char4,Раздел Знак Char4,Level 2 Topic Heading Char4,H21 Char4,Major Char4,CHS Char4,l2 Char3,22 Cha3"/>
    <w:uiPriority w:val="99"/>
    <w:rPr>
      <w:rFonts w:ascii="Cambria" w:hAnsi="Cambria" w:cs="Cambria"/>
      <w:b/>
      <w:bCs/>
      <w:i/>
      <w:iCs/>
      <w:sz w:val="28"/>
      <w:szCs w:val="28"/>
    </w:rPr>
  </w:style>
  <w:style w:type="character" w:customStyle="1" w:styleId="Heading2Char3">
    <w:name w:val="Heading 2 Char3"/>
    <w:aliases w:val="H2 Char3,2 Char3,h2 Char3,Б2 Char3,RTC Char3,iz2 Char3,H2 Знак Char3,Заголовок 21 Char3,Numbered text 3 Char3,HD2 Char3,Heading 2 Hidden Char3,Раздел Знак Char3,Level 2 Topic Heading Char3,H21 Char3,Major Char3,CHS Char3,l2 Char2,22 Cha2"/>
    <w:uiPriority w:val="99"/>
    <w:rPr>
      <w:rFonts w:ascii="Cambria" w:hAnsi="Cambria" w:cs="Cambria"/>
      <w:b/>
      <w:bCs/>
      <w:i/>
      <w:iCs/>
      <w:sz w:val="28"/>
      <w:szCs w:val="28"/>
    </w:rPr>
  </w:style>
  <w:style w:type="character" w:customStyle="1" w:styleId="Heading2Char2">
    <w:name w:val="Heading 2 Char2"/>
    <w:aliases w:val="H2 Char2,2 Char2,h2 Char2,Б2 Char2,RTC Char2,iz2 Char2,H2 Знак Char2,Заголовок 21 Char2,Numbered text 3 Char2,HD2 Char2,Heading 2 Hidden Char2,Раздел Знак Char2,Level 2 Topic Heading Char2,H21 Char2,Major Char2,CHS Char2,l2 Char1,22 Cha1"/>
    <w:uiPriority w:val="99"/>
    <w:rPr>
      <w:rFonts w:ascii="Cambria" w:hAnsi="Cambria" w:cs="Cambria"/>
      <w:b/>
      <w:bCs/>
      <w:i/>
      <w:iCs/>
      <w:sz w:val="28"/>
      <w:szCs w:val="28"/>
    </w:rPr>
  </w:style>
  <w:style w:type="character" w:customStyle="1" w:styleId="Heading1Char1">
    <w:name w:val="Heading 1 Char1"/>
    <w:aliases w:val="Заголовок 1_стандарта Char1,Document Header1 Char1,H1 Char1,Введение... Char1,Б1 Char1,Heading 1iz Char1,Б11 Char1,Заголовок параграфа (1.) Char1,Headi... Char1,co Char1,heading 1 Char,Section Char1,Section Heading Char1,level2 hdg Char1"/>
    <w:uiPriority w:val="99"/>
    <w:rPr>
      <w:b/>
      <w:bCs/>
      <w:color w:val="000000"/>
      <w:spacing w:val="-3"/>
      <w:sz w:val="32"/>
      <w:szCs w:val="32"/>
      <w:shd w:val="clear" w:color="auto" w:fill="FFFFFF"/>
    </w:rPr>
  </w:style>
  <w:style w:type="character" w:customStyle="1" w:styleId="20">
    <w:name w:val="Заголовок 2 Знак"/>
    <w:uiPriority w:val="99"/>
    <w:rPr>
      <w:rFonts w:ascii="Cambria" w:hAnsi="Cambria" w:cs="Cambria"/>
      <w:b/>
      <w:bCs/>
      <w:color w:val="auto"/>
      <w:sz w:val="26"/>
      <w:szCs w:val="26"/>
    </w:rPr>
  </w:style>
  <w:style w:type="character" w:customStyle="1" w:styleId="Heading2Char1">
    <w:name w:val="Heading 2 Char1"/>
    <w:aliases w:val="H2 Char1,2 Char1,h2 Char1,Б2 Char1,RTC Char1,iz2 Char1,H2 Знак Char1,Заголовок 21 Char1,Numbered text 3 Char1,HD2 Char1,heading 2 Char,Heading 2 Hidden Char1,Раздел Знак Char1,Level 2 Topic Heading Char1,H21 Char1,Major Char1,CHS Char1"/>
    <w:uiPriority w:val="99"/>
    <w:rPr>
      <w:sz w:val="28"/>
      <w:szCs w:val="28"/>
    </w:rPr>
  </w:style>
  <w:style w:type="paragraph" w:styleId="a4">
    <w:name w:val="Title"/>
    <w:basedOn w:val="a0"/>
    <w:link w:val="a5"/>
    <w:uiPriority w:val="99"/>
    <w:qFormat/>
    <w:pPr>
      <w:widowControl/>
      <w:autoSpaceDE/>
      <w:autoSpaceDN/>
      <w:adjustRightInd/>
      <w:jc w:val="center"/>
    </w:pPr>
    <w:rPr>
      <w:rFonts w:ascii="Cambria" w:hAnsi="Cambria" w:cs="Cambria"/>
      <w:b/>
      <w:bCs/>
      <w:kern w:val="28"/>
      <w:sz w:val="32"/>
      <w:szCs w:val="32"/>
    </w:rPr>
  </w:style>
  <w:style w:type="character" w:customStyle="1" w:styleId="a5">
    <w:name w:val="Название Знак"/>
    <w:basedOn w:val="a1"/>
    <w:link w:val="a4"/>
    <w:uiPriority w:val="99"/>
    <w:rPr>
      <w:rFonts w:ascii="Cambria" w:hAnsi="Cambria" w:cs="Cambria"/>
      <w:b/>
      <w:bCs/>
      <w:kern w:val="28"/>
      <w:sz w:val="32"/>
      <w:szCs w:val="32"/>
    </w:rPr>
  </w:style>
  <w:style w:type="paragraph" w:styleId="a6">
    <w:name w:val="No Spacing"/>
    <w:basedOn w:val="a7"/>
    <w:uiPriority w:val="99"/>
    <w:qFormat/>
    <w:rPr>
      <w:sz w:val="22"/>
      <w:szCs w:val="22"/>
    </w:rPr>
  </w:style>
  <w:style w:type="paragraph" w:styleId="a7">
    <w:name w:val="annotation text"/>
    <w:basedOn w:val="a0"/>
    <w:link w:val="a8"/>
    <w:uiPriority w:val="99"/>
  </w:style>
  <w:style w:type="character" w:customStyle="1" w:styleId="a8">
    <w:name w:val="Текст примечания Знак"/>
    <w:basedOn w:val="a1"/>
    <w:link w:val="a7"/>
    <w:uiPriority w:val="99"/>
    <w:rPr>
      <w:rFonts w:ascii="Times New Roman" w:hAnsi="Times New Roman" w:cs="Times New Roman"/>
      <w:sz w:val="20"/>
      <w:szCs w:val="20"/>
    </w:rPr>
  </w:style>
  <w:style w:type="paragraph" w:styleId="a9">
    <w:name w:val="List Paragraph"/>
    <w:basedOn w:val="a0"/>
    <w:uiPriority w:val="99"/>
    <w:qFormat/>
    <w:pPr>
      <w:ind w:left="708"/>
    </w:pPr>
  </w:style>
  <w:style w:type="paragraph" w:styleId="aa">
    <w:name w:val="Body Text"/>
    <w:basedOn w:val="a0"/>
    <w:link w:val="ab"/>
    <w:uiPriority w:val="99"/>
    <w:pPr>
      <w:widowControl/>
      <w:autoSpaceDE/>
      <w:autoSpaceDN/>
      <w:adjustRightInd/>
      <w:spacing w:after="120"/>
    </w:pPr>
    <w:rPr>
      <w:sz w:val="24"/>
      <w:szCs w:val="24"/>
    </w:rPr>
  </w:style>
  <w:style w:type="character" w:customStyle="1" w:styleId="ab">
    <w:name w:val="Основной текст Знак"/>
    <w:basedOn w:val="a1"/>
    <w:link w:val="aa"/>
    <w:uiPriority w:val="99"/>
    <w:rPr>
      <w:rFonts w:ascii="Times New Roman" w:hAnsi="Times New Roman" w:cs="Times New Roman"/>
      <w:sz w:val="24"/>
      <w:szCs w:val="24"/>
    </w:rPr>
  </w:style>
  <w:style w:type="paragraph" w:styleId="ac">
    <w:name w:val="Plain Text"/>
    <w:basedOn w:val="a0"/>
    <w:link w:val="ad"/>
    <w:uiPriority w:val="99"/>
    <w:pPr>
      <w:widowControl/>
      <w:autoSpaceDE/>
      <w:autoSpaceDN/>
      <w:adjustRightInd/>
    </w:pPr>
    <w:rPr>
      <w:rFonts w:ascii="Calibri" w:hAnsi="Calibri" w:cs="Calibri"/>
      <w:sz w:val="22"/>
      <w:szCs w:val="22"/>
      <w:lang w:eastAsia="en-US"/>
    </w:rPr>
  </w:style>
  <w:style w:type="character" w:customStyle="1" w:styleId="ad">
    <w:name w:val="Текст Знак"/>
    <w:basedOn w:val="a1"/>
    <w:link w:val="ac"/>
    <w:uiPriority w:val="99"/>
    <w:rPr>
      <w:rFonts w:ascii="Calibri" w:hAnsi="Calibri" w:cs="Calibri"/>
      <w:sz w:val="21"/>
      <w:szCs w:val="21"/>
      <w:lang w:eastAsia="en-US"/>
    </w:rPr>
  </w:style>
  <w:style w:type="character" w:customStyle="1" w:styleId="11">
    <w:name w:val="Пункт Знак1"/>
    <w:uiPriority w:val="99"/>
  </w:style>
  <w:style w:type="paragraph" w:customStyle="1" w:styleId="ae">
    <w:name w:val="Пункт"/>
    <w:basedOn w:val="a0"/>
    <w:uiPriority w:val="99"/>
    <w:pPr>
      <w:widowControl/>
      <w:tabs>
        <w:tab w:val="num" w:pos="1134"/>
      </w:tabs>
      <w:autoSpaceDE/>
      <w:autoSpaceDN/>
      <w:adjustRightInd/>
      <w:snapToGrid w:val="0"/>
      <w:spacing w:line="360" w:lineRule="auto"/>
      <w:ind w:left="1134" w:hanging="1134"/>
      <w:jc w:val="both"/>
    </w:pPr>
  </w:style>
  <w:style w:type="paragraph" w:customStyle="1" w:styleId="af">
    <w:name w:val="Подпункт"/>
    <w:basedOn w:val="ae"/>
    <w:uiPriority w:val="99"/>
    <w:pPr>
      <w:tabs>
        <w:tab w:val="num" w:pos="643"/>
      </w:tabs>
      <w:ind w:left="643" w:hanging="360"/>
    </w:pPr>
  </w:style>
  <w:style w:type="character" w:customStyle="1" w:styleId="af0">
    <w:name w:val="Подподпункт Знак"/>
    <w:uiPriority w:val="99"/>
  </w:style>
  <w:style w:type="paragraph" w:customStyle="1" w:styleId="a">
    <w:name w:val="Подподпункт"/>
    <w:basedOn w:val="af"/>
    <w:uiPriority w:val="99"/>
    <w:pPr>
      <w:numPr>
        <w:numId w:val="11"/>
      </w:numPr>
    </w:pPr>
  </w:style>
  <w:style w:type="paragraph" w:customStyle="1" w:styleId="Times12">
    <w:name w:val="Times 12"/>
    <w:basedOn w:val="a0"/>
    <w:uiPriority w:val="99"/>
    <w:pPr>
      <w:widowControl/>
      <w:overflowPunct w:val="0"/>
      <w:ind w:firstLine="567"/>
      <w:jc w:val="both"/>
    </w:pPr>
    <w:rPr>
      <w:sz w:val="24"/>
      <w:szCs w:val="24"/>
    </w:rPr>
  </w:style>
  <w:style w:type="character" w:styleId="af1">
    <w:name w:val="annotation reference"/>
    <w:basedOn w:val="a1"/>
    <w:uiPriority w:val="99"/>
    <w:rPr>
      <w:rFonts w:ascii="Times New Roman" w:hAnsi="Times New Roman" w:cs="Times New Roman"/>
      <w:sz w:val="16"/>
      <w:szCs w:val="16"/>
    </w:rPr>
  </w:style>
  <w:style w:type="paragraph" w:styleId="af2">
    <w:name w:val="annotation subject"/>
    <w:basedOn w:val="a7"/>
    <w:next w:val="a7"/>
    <w:link w:val="af3"/>
    <w:uiPriority w:val="99"/>
    <w:rPr>
      <w:b/>
      <w:bCs/>
    </w:rPr>
  </w:style>
  <w:style w:type="character" w:customStyle="1" w:styleId="af3">
    <w:name w:val="Тема примечания Знак"/>
    <w:basedOn w:val="a8"/>
    <w:link w:val="af2"/>
    <w:uiPriority w:val="99"/>
    <w:rPr>
      <w:rFonts w:ascii="Arial" w:hAnsi="Arial" w:cs="Arial"/>
      <w:b/>
      <w:bCs/>
      <w:sz w:val="20"/>
      <w:szCs w:val="20"/>
    </w:rPr>
  </w:style>
  <w:style w:type="paragraph" w:styleId="af4">
    <w:name w:val="Balloon Text"/>
    <w:basedOn w:val="a0"/>
    <w:link w:val="12"/>
    <w:uiPriority w:val="99"/>
    <w:rPr>
      <w:rFonts w:ascii="Tahoma" w:hAnsi="Tahoma" w:cs="Tahoma"/>
      <w:sz w:val="16"/>
      <w:szCs w:val="16"/>
    </w:rPr>
  </w:style>
  <w:style w:type="character" w:customStyle="1" w:styleId="12">
    <w:name w:val="Текст выноски Знак1"/>
    <w:basedOn w:val="a1"/>
    <w:link w:val="af4"/>
    <w:uiPriority w:val="99"/>
    <w:rPr>
      <w:rFonts w:ascii="Tahoma" w:hAnsi="Tahoma" w:cs="Tahoma"/>
      <w:sz w:val="16"/>
      <w:szCs w:val="16"/>
    </w:rPr>
  </w:style>
  <w:style w:type="character" w:styleId="af5">
    <w:name w:val="Hyperlink"/>
    <w:basedOn w:val="a1"/>
    <w:uiPriority w:val="99"/>
    <w:rPr>
      <w:rFonts w:ascii="Times New Roman" w:hAnsi="Times New Roman" w:cs="Times New Roman"/>
      <w:color w:val="0000FF"/>
      <w:u w:val="single"/>
    </w:rPr>
  </w:style>
  <w:style w:type="paragraph" w:styleId="22">
    <w:name w:val="Body Text 2"/>
    <w:basedOn w:val="a0"/>
    <w:link w:val="23"/>
    <w:uiPriority w:val="99"/>
    <w:pPr>
      <w:jc w:val="both"/>
    </w:pPr>
  </w:style>
  <w:style w:type="character" w:customStyle="1" w:styleId="23">
    <w:name w:val="Основной текст 2 Знак"/>
    <w:basedOn w:val="a1"/>
    <w:link w:val="22"/>
    <w:uiPriority w:val="99"/>
    <w:rPr>
      <w:rFonts w:ascii="Arial" w:hAnsi="Arial" w:cs="Arial"/>
      <w:sz w:val="20"/>
      <w:szCs w:val="20"/>
    </w:rPr>
  </w:style>
  <w:style w:type="paragraph" w:customStyle="1" w:styleId="13">
    <w:name w:val="Текст выноски1"/>
    <w:basedOn w:val="a0"/>
    <w:uiPriority w:val="99"/>
    <w:rPr>
      <w:rFonts w:ascii="Tahoma" w:hAnsi="Tahoma" w:cs="Tahoma"/>
      <w:sz w:val="16"/>
      <w:szCs w:val="16"/>
    </w:rPr>
  </w:style>
  <w:style w:type="character" w:customStyle="1" w:styleId="af6">
    <w:name w:val="Текст выноски Знак"/>
    <w:uiPriority w:val="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emf"/><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1853</Words>
  <Characters>12924</Characters>
  <Application>Microsoft Office Word</Application>
  <DocSecurity>0</DocSecurity>
  <Lines>107</Lines>
  <Paragraphs>29</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Gazprombank</Company>
  <LinksUpToDate>false</LinksUpToDate>
  <CharactersWithSpaces>14748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Галанкина Виктория Владимировна</dc:creator>
  <cp:lastModifiedBy>Мусатова Светлана Николаевна</cp:lastModifiedBy>
  <cp:revision>7</cp:revision>
  <cp:lastPrinted>2012-12-27T07:39:00Z</cp:lastPrinted>
  <dcterms:created xsi:type="dcterms:W3CDTF">2013-01-16T09:27:00Z</dcterms:created>
  <dcterms:modified xsi:type="dcterms:W3CDTF">2013-01-18T10:52:00Z</dcterms:modified>
</cp:coreProperties>
</file>